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 w:hAnsi="仿宋" w:eastAsia="仿宋" w:cs="仿宋_GB2312"/>
          <w:sz w:val="32"/>
          <w:szCs w:val="32"/>
        </w:rPr>
      </w:pPr>
      <w:r>
        <w:rPr>
          <w:rFonts w:hint="eastAsia" w:ascii="仿宋" w:hAnsi="仿宋" w:eastAsia="仿宋" w:cs="仿宋_GB2312"/>
          <w:sz w:val="32"/>
          <w:szCs w:val="32"/>
        </w:rPr>
        <w:t>附件3：</w:t>
      </w:r>
    </w:p>
    <w:p>
      <w:pPr>
        <w:adjustRightInd w:val="0"/>
        <w:spacing w:line="540" w:lineRule="exact"/>
        <w:rPr>
          <w:rFonts w:ascii="仿宋" w:hAnsi="仿宋" w:eastAsia="仿宋" w:cs="华文仿宋"/>
          <w:sz w:val="32"/>
          <w:szCs w:val="32"/>
        </w:rPr>
      </w:pPr>
    </w:p>
    <w:p>
      <w:pPr>
        <w:adjustRightInd w:val="0"/>
        <w:spacing w:line="540" w:lineRule="exact"/>
        <w:jc w:val="center"/>
        <w:rPr>
          <w:rFonts w:ascii="仿宋" w:hAnsi="仿宋" w:eastAsia="仿宋" w:cs="宋体"/>
          <w:b/>
          <w:bCs/>
          <w:sz w:val="44"/>
          <w:szCs w:val="44"/>
        </w:rPr>
      </w:pPr>
      <w:bookmarkStart w:id="0" w:name="_GoBack"/>
      <w:r>
        <w:rPr>
          <w:rFonts w:hint="eastAsia" w:ascii="仿宋" w:hAnsi="仿宋" w:eastAsia="仿宋" w:cs="宋体"/>
          <w:b/>
          <w:bCs/>
          <w:sz w:val="44"/>
          <w:szCs w:val="44"/>
        </w:rPr>
        <w:t>会计（数据分析方向）硕士学位项目</w:t>
      </w:r>
    </w:p>
    <w:p>
      <w:pPr>
        <w:adjustRightInd w:val="0"/>
        <w:spacing w:line="540" w:lineRule="exact"/>
        <w:jc w:val="center"/>
        <w:rPr>
          <w:rFonts w:ascii="仿宋" w:hAnsi="仿宋" w:eastAsia="仿宋" w:cs="华文仿宋"/>
          <w:b/>
          <w:bCs/>
          <w:sz w:val="44"/>
          <w:szCs w:val="44"/>
        </w:rPr>
      </w:pPr>
      <w:r>
        <w:rPr>
          <w:rFonts w:hint="eastAsia" w:ascii="仿宋" w:hAnsi="仿宋" w:eastAsia="仿宋" w:cs="宋体"/>
          <w:b/>
          <w:bCs/>
          <w:sz w:val="44"/>
          <w:szCs w:val="44"/>
        </w:rPr>
        <w:t>（MiM）详细介绍</w:t>
      </w:r>
      <w:bookmarkEnd w:id="0"/>
    </w:p>
    <w:p>
      <w:pPr>
        <w:adjustRightInd w:val="0"/>
        <w:spacing w:line="540" w:lineRule="exact"/>
        <w:jc w:val="center"/>
        <w:rPr>
          <w:rFonts w:ascii="仿宋" w:hAnsi="仿宋" w:eastAsia="仿宋" w:cs="华文仿宋"/>
          <w:sz w:val="32"/>
          <w:szCs w:val="32"/>
        </w:rPr>
      </w:pPr>
      <w:r>
        <w:rPr>
          <w:rFonts w:hint="eastAsia" w:ascii="仿宋" w:hAnsi="仿宋" w:eastAsia="仿宋" w:cs="仿宋_GB2312"/>
          <w:sz w:val="32"/>
          <w:szCs w:val="32"/>
        </w:rPr>
        <w:t>（教育部批准书编号：MOE31US1A20141610N）</w:t>
      </w:r>
    </w:p>
    <w:p>
      <w:pPr>
        <w:adjustRightInd w:val="0"/>
        <w:spacing w:line="540" w:lineRule="exact"/>
        <w:rPr>
          <w:rFonts w:ascii="仿宋" w:hAnsi="仿宋" w:eastAsia="仿宋" w:cs="华文仿宋"/>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一、培养目标</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培养具有良好政治思想素质和职业道德素养，精通数据商业价值，并能够运用数据分析技术解决会计和金融领域商业问题的专业人才。</w:t>
      </w:r>
    </w:p>
    <w:p>
      <w:pPr>
        <w:ind w:firstLine="640" w:firstLineChars="200"/>
        <w:rPr>
          <w:rFonts w:ascii="黑体" w:hAnsi="黑体" w:eastAsia="黑体" w:cs="黑体"/>
          <w:sz w:val="32"/>
          <w:szCs w:val="32"/>
        </w:rPr>
      </w:pPr>
      <w:r>
        <w:rPr>
          <w:rFonts w:hint="eastAsia" w:ascii="黑体" w:hAnsi="黑体" w:eastAsia="黑体" w:cs="黑体"/>
          <w:sz w:val="32"/>
          <w:szCs w:val="32"/>
        </w:rPr>
        <w:t>二、培养特色</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项目通过聘请亚利桑那州立大学、上海国家会计学院以及其他高校相关学科的知名教授，为学员建立专业知识平台，传授前沿的会计知识和数据分析技术，拓展学员的全球化视野，帮助学员适应数字经济时代追求卓越、不断创新的竞争环境。</w:t>
      </w:r>
    </w:p>
    <w:p>
      <w:pPr>
        <w:ind w:firstLine="643" w:firstLineChars="200"/>
        <w:rPr>
          <w:rFonts w:ascii="仿宋" w:hAnsi="仿宋" w:eastAsia="仿宋" w:cs="楷体"/>
          <w:b/>
          <w:bCs/>
          <w:sz w:val="32"/>
          <w:szCs w:val="32"/>
        </w:rPr>
      </w:pPr>
      <w:r>
        <w:rPr>
          <w:rFonts w:hint="eastAsia" w:ascii="仿宋" w:hAnsi="仿宋" w:eastAsia="仿宋" w:cs="楷体"/>
          <w:b/>
          <w:bCs/>
          <w:sz w:val="32"/>
          <w:szCs w:val="32"/>
        </w:rPr>
        <w:t>（一）前沿课程，交叉学科。</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项目课程具有很强的跨学科性，强调会计和数据分析的融合与应用，着重培养学员的数据分析能力和商业敏锐度，构建战略思维框架，激发创新与创造力，提升敏捷度，应对瞬息万变的环境。</w:t>
      </w:r>
    </w:p>
    <w:p>
      <w:pPr>
        <w:ind w:firstLine="643" w:firstLineChars="200"/>
        <w:rPr>
          <w:rFonts w:ascii="仿宋" w:hAnsi="仿宋" w:eastAsia="仿宋" w:cs="楷体"/>
          <w:b/>
          <w:bCs/>
          <w:sz w:val="32"/>
          <w:szCs w:val="32"/>
        </w:rPr>
      </w:pPr>
      <w:r>
        <w:rPr>
          <w:rFonts w:hint="eastAsia" w:ascii="仿宋" w:hAnsi="仿宋" w:eastAsia="仿宋" w:cs="楷体"/>
          <w:b/>
          <w:bCs/>
          <w:sz w:val="32"/>
          <w:szCs w:val="32"/>
        </w:rPr>
        <w:t>（二）强调应用，注重实践。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项目重视教学与实践的结合，除了聘请著名商学院的资深教授讲授课程外，项目还会邀请实务界专业人士参与课堂教学，并组织学员深入一线标杆企业进行现场教学，为学员解决实际问题的能力打下坚实基础。</w:t>
      </w:r>
    </w:p>
    <w:p>
      <w:pPr>
        <w:ind w:firstLine="643" w:firstLineChars="200"/>
        <w:rPr>
          <w:rFonts w:ascii="仿宋" w:hAnsi="仿宋" w:eastAsia="仿宋" w:cs="楷体"/>
          <w:b/>
          <w:bCs/>
          <w:sz w:val="32"/>
          <w:szCs w:val="32"/>
        </w:rPr>
      </w:pPr>
      <w:r>
        <w:rPr>
          <w:rFonts w:hint="eastAsia" w:ascii="仿宋" w:hAnsi="仿宋" w:eastAsia="仿宋" w:cs="楷体"/>
          <w:b/>
          <w:bCs/>
          <w:sz w:val="32"/>
          <w:szCs w:val="32"/>
        </w:rPr>
        <w:t>（三）在线课程，无缝对接。</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项目除了面授课程外，还搭建在线平台，为学员提供丰富网络学习资源，学员可根据自身情况选择课程，为学员提升综合能力和顺利完成学业提供有效保障。</w:t>
      </w:r>
    </w:p>
    <w:p>
      <w:pPr>
        <w:numPr>
          <w:ilvl w:val="0"/>
          <w:numId w:val="1"/>
        </w:numPr>
        <w:ind w:firstLine="640" w:firstLineChars="200"/>
        <w:rPr>
          <w:rFonts w:ascii="黑体" w:hAnsi="黑体" w:eastAsia="黑体" w:cs="黑体"/>
          <w:b/>
          <w:bCs/>
          <w:sz w:val="32"/>
          <w:szCs w:val="32"/>
        </w:rPr>
      </w:pPr>
      <w:r>
        <w:rPr>
          <w:rFonts w:hint="eastAsia" w:ascii="黑体" w:hAnsi="黑体" w:eastAsia="黑体" w:cs="黑体"/>
          <w:sz w:val="32"/>
          <w:szCs w:val="32"/>
        </w:rPr>
        <w:t>培养要求</w:t>
      </w:r>
    </w:p>
    <w:p>
      <w:pPr>
        <w:ind w:firstLine="643" w:firstLineChars="200"/>
        <w:rPr>
          <w:rFonts w:ascii="仿宋" w:hAnsi="仿宋" w:eastAsia="仿宋" w:cs="楷体"/>
          <w:b/>
          <w:bCs/>
          <w:sz w:val="32"/>
          <w:szCs w:val="32"/>
        </w:rPr>
      </w:pPr>
      <w:r>
        <w:rPr>
          <w:rFonts w:hint="eastAsia" w:ascii="仿宋" w:hAnsi="仿宋" w:eastAsia="仿宋" w:cs="楷体"/>
          <w:b/>
          <w:bCs/>
          <w:sz w:val="32"/>
          <w:szCs w:val="32"/>
        </w:rPr>
        <w:t>(一) 知识结构要求。</w:t>
      </w:r>
    </w:p>
    <w:p>
      <w:pPr>
        <w:pStyle w:val="5"/>
        <w:ind w:firstLine="640"/>
        <w:rPr>
          <w:rFonts w:ascii="仿宋" w:hAnsi="仿宋" w:eastAsia="仿宋" w:cs="仿宋_GB2312"/>
          <w:sz w:val="32"/>
          <w:szCs w:val="32"/>
        </w:rPr>
      </w:pPr>
      <w:r>
        <w:rPr>
          <w:rFonts w:hint="eastAsia" w:ascii="仿宋" w:hAnsi="仿宋" w:eastAsia="仿宋" w:cs="仿宋_GB2312"/>
          <w:sz w:val="32"/>
          <w:szCs w:val="32"/>
        </w:rPr>
        <w:t>1.掌握财务会计基本理论，能够更好地理解业财融合。</w:t>
      </w:r>
    </w:p>
    <w:p>
      <w:pPr>
        <w:pStyle w:val="5"/>
        <w:ind w:firstLine="640"/>
        <w:rPr>
          <w:rFonts w:ascii="仿宋" w:hAnsi="仿宋" w:eastAsia="仿宋" w:cs="仿宋_GB2312"/>
          <w:sz w:val="32"/>
          <w:szCs w:val="32"/>
        </w:rPr>
      </w:pPr>
      <w:r>
        <w:rPr>
          <w:rFonts w:hint="eastAsia" w:ascii="仿宋" w:hAnsi="仿宋" w:eastAsia="仿宋" w:cs="仿宋_GB2312"/>
          <w:sz w:val="32"/>
          <w:szCs w:val="32"/>
        </w:rPr>
        <w:t>2.了解全球最新的财务会计实践。</w:t>
      </w:r>
    </w:p>
    <w:p>
      <w:pPr>
        <w:pStyle w:val="5"/>
        <w:ind w:firstLine="640"/>
        <w:rPr>
          <w:rFonts w:ascii="仿宋" w:hAnsi="仿宋" w:eastAsia="仿宋" w:cs="仿宋_GB2312"/>
          <w:sz w:val="32"/>
          <w:szCs w:val="32"/>
        </w:rPr>
      </w:pPr>
      <w:r>
        <w:rPr>
          <w:rFonts w:hint="eastAsia" w:ascii="仿宋" w:hAnsi="仿宋" w:eastAsia="仿宋" w:cs="仿宋_GB2312"/>
          <w:sz w:val="32"/>
          <w:szCs w:val="32"/>
        </w:rPr>
        <w:t>3.掌握一定的数据挖掘和分析技术。</w:t>
      </w:r>
    </w:p>
    <w:p>
      <w:pPr>
        <w:pStyle w:val="5"/>
        <w:ind w:firstLine="640"/>
        <w:rPr>
          <w:rFonts w:ascii="仿宋" w:hAnsi="仿宋" w:eastAsia="仿宋" w:cs="仿宋_GB2312"/>
          <w:sz w:val="32"/>
          <w:szCs w:val="32"/>
        </w:rPr>
      </w:pPr>
      <w:r>
        <w:rPr>
          <w:rFonts w:hint="eastAsia" w:ascii="仿宋" w:hAnsi="仿宋" w:eastAsia="仿宋" w:cs="仿宋_GB2312"/>
          <w:sz w:val="32"/>
          <w:szCs w:val="32"/>
        </w:rPr>
        <w:t>4.能够在企业财务会计分析过程中熟练运用数据技术提炼有效信息，为商业决策提供有效参考。</w:t>
      </w:r>
    </w:p>
    <w:p>
      <w:pPr>
        <w:ind w:firstLine="643" w:firstLineChars="200"/>
        <w:rPr>
          <w:rFonts w:ascii="仿宋" w:hAnsi="仿宋" w:eastAsia="仿宋" w:cs="楷体"/>
          <w:b/>
          <w:bCs/>
          <w:sz w:val="32"/>
          <w:szCs w:val="32"/>
        </w:rPr>
      </w:pPr>
      <w:r>
        <w:rPr>
          <w:rFonts w:hint="eastAsia" w:ascii="仿宋" w:hAnsi="仿宋" w:eastAsia="仿宋" w:cs="楷体"/>
          <w:b/>
          <w:bCs/>
          <w:sz w:val="32"/>
          <w:szCs w:val="32"/>
        </w:rPr>
        <w:t>(二)素质能力要求</w:t>
      </w:r>
      <w:r>
        <w:rPr>
          <w:rFonts w:ascii="仿宋" w:hAnsi="仿宋" w:eastAsia="仿宋" w:cs="楷体"/>
          <w:b/>
          <w:bCs/>
          <w:sz w:val="32"/>
          <w:szCs w:val="32"/>
        </w:rPr>
        <w:t>。</w:t>
      </w:r>
    </w:p>
    <w:p>
      <w:pPr>
        <w:pStyle w:val="5"/>
        <w:ind w:left="-440" w:firstLine="960" w:firstLineChars="300"/>
        <w:jc w:val="left"/>
        <w:rPr>
          <w:rFonts w:ascii="仿宋" w:hAnsi="仿宋" w:eastAsia="仿宋" w:cs="仿宋_GB2312"/>
          <w:sz w:val="32"/>
          <w:szCs w:val="32"/>
        </w:rPr>
      </w:pPr>
      <w:r>
        <w:rPr>
          <w:rFonts w:hint="eastAsia" w:ascii="仿宋" w:hAnsi="仿宋" w:eastAsia="仿宋" w:cs="仿宋_GB2312"/>
          <w:sz w:val="32"/>
          <w:szCs w:val="32"/>
        </w:rPr>
        <w:t>1.财务分析和公司运营情况分析的基本能力</w:t>
      </w:r>
      <w:r>
        <w:rPr>
          <w:rFonts w:ascii="仿宋" w:hAnsi="仿宋" w:eastAsia="仿宋" w:cs="仿宋_GB2312"/>
          <w:sz w:val="32"/>
          <w:szCs w:val="32"/>
        </w:rPr>
        <w:t>。</w:t>
      </w:r>
    </w:p>
    <w:p>
      <w:pPr>
        <w:pStyle w:val="5"/>
        <w:ind w:left="-440" w:firstLine="960" w:firstLineChars="300"/>
        <w:jc w:val="left"/>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财务战略规划管理的能力</w:t>
      </w:r>
      <w:r>
        <w:rPr>
          <w:rFonts w:ascii="仿宋" w:hAnsi="仿宋" w:eastAsia="仿宋" w:cs="仿宋_GB2312"/>
          <w:sz w:val="32"/>
          <w:szCs w:val="32"/>
        </w:rPr>
        <w:t>。</w:t>
      </w:r>
    </w:p>
    <w:p>
      <w:pPr>
        <w:pStyle w:val="5"/>
        <w:ind w:left="-440" w:firstLine="960" w:firstLineChars="300"/>
        <w:jc w:val="left"/>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数据分析能力</w:t>
      </w:r>
      <w:r>
        <w:rPr>
          <w:rFonts w:ascii="仿宋" w:hAnsi="仿宋" w:eastAsia="仿宋" w:cs="仿宋_GB2312"/>
          <w:sz w:val="32"/>
          <w:szCs w:val="32"/>
        </w:rPr>
        <w:t>。</w:t>
      </w:r>
    </w:p>
    <w:p>
      <w:pPr>
        <w:pStyle w:val="5"/>
        <w:ind w:left="-440" w:firstLine="960" w:firstLineChars="300"/>
        <w:jc w:val="left"/>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计算机运用能力</w:t>
      </w:r>
      <w:r>
        <w:rPr>
          <w:rFonts w:ascii="仿宋" w:hAnsi="仿宋" w:eastAsia="仿宋" w:cs="仿宋_GB2312"/>
          <w:sz w:val="32"/>
          <w:szCs w:val="32"/>
        </w:rPr>
        <w:t>。</w:t>
      </w:r>
    </w:p>
    <w:p>
      <w:pPr>
        <w:pStyle w:val="5"/>
        <w:ind w:left="-440" w:firstLine="960" w:firstLineChars="300"/>
        <w:jc w:val="left"/>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较强的人际沟通能力和团队合作精神</w:t>
      </w:r>
      <w:r>
        <w:rPr>
          <w:rFonts w:ascii="仿宋" w:hAnsi="仿宋" w:eastAsia="仿宋" w:cs="仿宋_GB2312"/>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四、学位授予</w:t>
      </w:r>
    </w:p>
    <w:p>
      <w:pPr>
        <w:ind w:firstLine="628" w:firstLineChars="200"/>
        <w:rPr>
          <w:rFonts w:ascii="仿宋" w:hAnsi="仿宋" w:eastAsia="仿宋" w:cs="仿宋_GB2312"/>
          <w:spacing w:val="5"/>
          <w:w w:val="95"/>
          <w:kern w:val="0"/>
          <w:sz w:val="32"/>
          <w:szCs w:val="32"/>
        </w:rPr>
      </w:pPr>
      <w:r>
        <w:rPr>
          <w:rFonts w:hint="eastAsia" w:ascii="仿宋" w:hAnsi="仿宋" w:eastAsia="仿宋" w:cs="仿宋_GB2312"/>
          <w:spacing w:val="5"/>
          <w:w w:val="95"/>
          <w:kern w:val="0"/>
          <w:sz w:val="32"/>
          <w:szCs w:val="32"/>
        </w:rPr>
        <w:t>学员在规定时间内修完全部课程且成绩合格，将获得由美国亚利桑那州立大学颁发的理学硕士学位，该学位等同于在亚利桑那州立大学攻读同一项目所获学位，获美国政府认可，并享有同等效力。</w:t>
      </w:r>
    </w:p>
    <w:p>
      <w:pPr>
        <w:ind w:firstLine="640" w:firstLineChars="200"/>
        <w:rPr>
          <w:rFonts w:ascii="黑体" w:hAnsi="黑体" w:eastAsia="黑体" w:cs="黑体"/>
          <w:sz w:val="32"/>
          <w:szCs w:val="32"/>
        </w:rPr>
      </w:pPr>
      <w:r>
        <w:rPr>
          <w:rFonts w:hint="eastAsia" w:ascii="黑体" w:hAnsi="黑体" w:eastAsia="黑体" w:cs="黑体"/>
          <w:sz w:val="32"/>
          <w:szCs w:val="32"/>
        </w:rPr>
        <w:t>五、教授及课程设置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项目师资主要由亚利桑那州立大学和上海国家会计学院资深教授构成，还会结合课程情况邀请其他高校相关学科的资深教授担纲讲授课程，并结合中国国情和企业的实践进行深入探讨，确保项目高质量完成。项目课程设计具有很强的跨学科性，覆盖一般会计理论，同时突出会计和商业数据分析的研究和应用，并辅以小组互动和企业标杆学习等活动，从而有效激发学员的学习潜能，提升学习效率。</w:t>
      </w:r>
    </w:p>
    <w:p>
      <w:pPr>
        <w:ind w:firstLine="640" w:firstLineChars="200"/>
        <w:rPr>
          <w:rFonts w:ascii="黑体" w:hAnsi="黑体" w:eastAsia="黑体" w:cs="黑体"/>
          <w:sz w:val="32"/>
          <w:szCs w:val="32"/>
        </w:rPr>
      </w:pPr>
      <w:r>
        <w:rPr>
          <w:rFonts w:hint="eastAsia" w:ascii="黑体" w:hAnsi="黑体" w:eastAsia="黑体" w:cs="黑体"/>
          <w:sz w:val="32"/>
          <w:szCs w:val="32"/>
        </w:rPr>
        <w:t>六、学制</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项目学制两年，每门课采用连续两个周末（四天）或连续四天的教学方式，除了企业标杆学习外，上课地点全部在上海国家会计学院校园学习。</w:t>
      </w:r>
    </w:p>
    <w:p>
      <w:pPr>
        <w:ind w:firstLine="640" w:firstLineChars="200"/>
        <w:rPr>
          <w:rFonts w:ascii="黑体" w:hAnsi="黑体" w:eastAsia="黑体" w:cs="黑体"/>
          <w:sz w:val="32"/>
          <w:szCs w:val="32"/>
        </w:rPr>
      </w:pPr>
      <w:r>
        <w:rPr>
          <w:rFonts w:hint="eastAsia" w:ascii="黑体" w:hAnsi="黑体" w:eastAsia="黑体" w:cs="黑体"/>
          <w:sz w:val="32"/>
          <w:szCs w:val="32"/>
        </w:rPr>
        <w:t>七、毕业要求</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根据亚利桑那州立大学硕士学位授予要求，学员必须在规定学习时间内，完成36个学分，且平均分不低于3.0（4 分制），同时《战略管理与领导力》课程成绩不低于3.0，方可申请授予相应学位。</w:t>
      </w:r>
    </w:p>
    <w:p>
      <w:pPr>
        <w:ind w:firstLine="640" w:firstLineChars="200"/>
        <w:rPr>
          <w:rFonts w:ascii="黑体" w:hAnsi="黑体" w:eastAsia="黑体" w:cs="黑体"/>
          <w:sz w:val="32"/>
          <w:szCs w:val="32"/>
        </w:rPr>
      </w:pPr>
      <w:r>
        <w:rPr>
          <w:rFonts w:hint="eastAsia" w:ascii="黑体" w:hAnsi="黑体" w:eastAsia="黑体" w:cs="黑体"/>
          <w:sz w:val="32"/>
          <w:szCs w:val="32"/>
        </w:rPr>
        <w:t>八、学费</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2025年项目招收第7期，两年学费共计29.8万元人民币，可以分两年支付。项目也提供各大银行的贷款资源，供有需要的学员使用。 </w:t>
      </w:r>
    </w:p>
    <w:p>
      <w:pPr>
        <w:autoSpaceDE w:val="0"/>
        <w:autoSpaceDN w:val="0"/>
        <w:ind w:firstLine="640" w:firstLineChars="200"/>
        <w:rPr>
          <w:rFonts w:ascii="黑体" w:hAnsi="黑体" w:eastAsia="黑体" w:cs="黑体"/>
          <w:sz w:val="32"/>
          <w:szCs w:val="32"/>
        </w:rPr>
      </w:pPr>
      <w:r>
        <w:rPr>
          <w:rFonts w:hint="eastAsia" w:ascii="黑体" w:hAnsi="黑体" w:eastAsia="黑体" w:cs="黑体"/>
          <w:sz w:val="32"/>
          <w:szCs w:val="32"/>
        </w:rPr>
        <w:t>九、咨询方式</w:t>
      </w:r>
    </w:p>
    <w:p>
      <w:pPr>
        <w:autoSpaceDE w:val="0"/>
        <w:autoSpaceDN w:val="0"/>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咨询电话：刘老师18121168229；吴老师18121168323； </w:t>
      </w:r>
    </w:p>
    <w:p>
      <w:pPr>
        <w:autoSpaceDE w:val="0"/>
        <w:autoSpaceDN w:val="0"/>
        <w:ind w:firstLine="640" w:firstLineChars="200"/>
        <w:rPr>
          <w:rFonts w:ascii="仿宋" w:hAnsi="仿宋" w:eastAsia="仿宋" w:cs="仿宋_GB2312"/>
          <w:sz w:val="32"/>
          <w:szCs w:val="32"/>
        </w:rPr>
      </w:pPr>
      <w:r>
        <w:rPr>
          <w:rFonts w:hint="eastAsia" w:ascii="仿宋" w:hAnsi="仿宋" w:eastAsia="仿宋" w:cs="仿宋_GB2312"/>
          <w:sz w:val="32"/>
          <w:szCs w:val="32"/>
        </w:rPr>
        <w:t>网址：</w:t>
      </w:r>
      <w:r>
        <w:fldChar w:fldCharType="begin"/>
      </w:r>
      <w:r>
        <w:instrText xml:space="preserve"> HYPERLINK "http://mim.snai.edu" </w:instrText>
      </w:r>
      <w:r>
        <w:fldChar w:fldCharType="separate"/>
      </w:r>
      <w:r>
        <w:rPr>
          <w:rStyle w:val="4"/>
          <w:rFonts w:ascii="仿宋" w:hAnsi="仿宋" w:eastAsia="仿宋" w:cs="仿宋_GB2312"/>
          <w:sz w:val="32"/>
          <w:szCs w:val="32"/>
        </w:rPr>
        <w:t>http://</w:t>
      </w:r>
      <w:r>
        <w:rPr>
          <w:rStyle w:val="4"/>
          <w:rFonts w:hint="eastAsia" w:ascii="仿宋" w:hAnsi="仿宋" w:eastAsia="仿宋" w:cs="仿宋_GB2312"/>
          <w:sz w:val="32"/>
          <w:szCs w:val="32"/>
        </w:rPr>
        <w:t>mim</w:t>
      </w:r>
      <w:r>
        <w:rPr>
          <w:rStyle w:val="4"/>
          <w:rFonts w:ascii="仿宋" w:hAnsi="仿宋" w:eastAsia="仿宋" w:cs="仿宋_GB2312"/>
          <w:sz w:val="32"/>
          <w:szCs w:val="32"/>
        </w:rPr>
        <w:t>.snai.edu</w:t>
      </w:r>
      <w:r>
        <w:rPr>
          <w:rStyle w:val="4"/>
          <w:rFonts w:ascii="仿宋" w:hAnsi="仿宋" w:eastAsia="仿宋" w:cs="仿宋_GB2312"/>
          <w:sz w:val="32"/>
          <w:szCs w:val="32"/>
        </w:rPr>
        <w:fldChar w:fldCharType="end"/>
      </w:r>
      <w:r>
        <w:rPr>
          <w:rFonts w:ascii="仿宋" w:hAnsi="仿宋" w:eastAsia="仿宋" w:cs="仿宋_GB2312"/>
          <w:sz w:val="32"/>
          <w:szCs w:val="32"/>
        </w:rPr>
        <w:t xml:space="preserve"> </w:t>
      </w:r>
    </w:p>
    <w:p>
      <w:pPr>
        <w:autoSpaceDE w:val="0"/>
        <w:autoSpaceDN w:val="0"/>
        <w:ind w:firstLine="640" w:firstLineChars="200"/>
        <w:rPr>
          <w:rFonts w:ascii="仿宋" w:hAnsi="仿宋" w:eastAsia="仿宋" w:cs="仿宋_GB2312"/>
          <w:sz w:val="32"/>
          <w:szCs w:val="32"/>
        </w:rPr>
      </w:pPr>
      <w:r>
        <w:rPr>
          <w:rFonts w:hint="eastAsia" w:ascii="仿宋" w:hAnsi="仿宋" w:eastAsia="仿宋" w:cs="仿宋_GB2312"/>
          <w:sz w:val="32"/>
          <w:szCs w:val="32"/>
        </w:rPr>
        <w:t>电子邮箱：</w:t>
      </w:r>
      <w:r>
        <w:fldChar w:fldCharType="begin"/>
      </w:r>
      <w:r>
        <w:instrText xml:space="preserve"> HYPERLINK "mailto:mim@snai.edu" </w:instrText>
      </w:r>
      <w:r>
        <w:fldChar w:fldCharType="separate"/>
      </w:r>
      <w:r>
        <w:rPr>
          <w:rStyle w:val="4"/>
          <w:rFonts w:hint="eastAsia" w:ascii="仿宋" w:hAnsi="仿宋" w:eastAsia="仿宋" w:cs="仿宋_GB2312"/>
          <w:sz w:val="32"/>
          <w:szCs w:val="32"/>
        </w:rPr>
        <w:t>mim</w:t>
      </w:r>
      <w:r>
        <w:rPr>
          <w:rStyle w:val="4"/>
          <w:rFonts w:ascii="仿宋" w:hAnsi="仿宋" w:eastAsia="仿宋" w:cs="仿宋_GB2312"/>
          <w:sz w:val="32"/>
          <w:szCs w:val="32"/>
        </w:rPr>
        <w:t>@snai.edu</w:t>
      </w:r>
      <w:r>
        <w:rPr>
          <w:rStyle w:val="4"/>
          <w:rFonts w:ascii="仿宋" w:hAnsi="仿宋" w:eastAsia="仿宋" w:cs="仿宋_GB2312"/>
          <w:sz w:val="32"/>
          <w:szCs w:val="32"/>
        </w:rPr>
        <w:fldChar w:fldCharType="end"/>
      </w:r>
    </w:p>
    <w:p>
      <w:pPr>
        <w:autoSpaceDE w:val="0"/>
        <w:autoSpaceDN w:val="0"/>
        <w:ind w:firstLine="640" w:firstLineChars="200"/>
        <w:rPr>
          <w:rFonts w:ascii="仿宋" w:hAnsi="仿宋" w:eastAsia="仿宋" w:cs="仿宋_GB2312"/>
          <w:sz w:val="32"/>
          <w:szCs w:val="32"/>
        </w:rPr>
      </w:pPr>
      <w:r>
        <w:rPr>
          <w:rFonts w:hint="eastAsia" w:ascii="仿宋" w:hAnsi="仿宋" w:eastAsia="仿宋" w:cs="仿宋_GB2312"/>
          <w:sz w:val="32"/>
          <w:szCs w:val="32"/>
        </w:rPr>
        <w:t>地址：上海市青浦区蟠龙路200号上海国家会计学院</w:t>
      </w:r>
    </w:p>
    <w:p>
      <w:pPr>
        <w:autoSpaceDE w:val="0"/>
        <w:autoSpaceDN w:val="0"/>
        <w:ind w:firstLine="640" w:firstLineChars="200"/>
        <w:rPr>
          <w:rFonts w:ascii="仿宋" w:hAnsi="仿宋" w:eastAsia="仿宋" w:cs="仿宋_GB2312"/>
          <w:sz w:val="32"/>
          <w:szCs w:val="32"/>
        </w:rPr>
      </w:pPr>
      <w:r>
        <w:rPr>
          <w:rFonts w:ascii="仿宋" w:hAnsi="仿宋" w:eastAsia="仿宋" w:cs="华文仿宋"/>
          <w:sz w:val="32"/>
          <w:szCs w:val="32"/>
        </w:rPr>
        <w:drawing>
          <wp:anchor distT="0" distB="0" distL="114300" distR="114300" simplePos="0" relativeHeight="251659264" behindDoc="0" locked="0" layoutInCell="1" allowOverlap="1">
            <wp:simplePos x="0" y="0"/>
            <wp:positionH relativeFrom="column">
              <wp:posOffset>1971040</wp:posOffset>
            </wp:positionH>
            <wp:positionV relativeFrom="paragraph">
              <wp:posOffset>91440</wp:posOffset>
            </wp:positionV>
            <wp:extent cx="817880" cy="817880"/>
            <wp:effectExtent l="0" t="0" r="1270" b="1270"/>
            <wp:wrapNone/>
            <wp:docPr id="1" name="图片 4"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QR 代码&#10;&#10;描述已自动生成"/>
                    <pic:cNvPicPr>
                      <a:picLocks noChangeAspect="1"/>
                    </pic:cNvPicPr>
                  </pic:nvPicPr>
                  <pic:blipFill>
                    <a:blip r:embed="rId4"/>
                    <a:stretch>
                      <a:fillRect/>
                    </a:stretch>
                  </pic:blipFill>
                  <pic:spPr>
                    <a:xfrm>
                      <a:off x="0" y="0"/>
                      <a:ext cx="817880" cy="817880"/>
                    </a:xfrm>
                    <a:prstGeom prst="rect">
                      <a:avLst/>
                    </a:prstGeom>
                    <a:noFill/>
                    <a:ln>
                      <a:noFill/>
                    </a:ln>
                  </pic:spPr>
                </pic:pic>
              </a:graphicData>
            </a:graphic>
          </wp:anchor>
        </w:drawing>
      </w:r>
      <w:r>
        <w:rPr>
          <w:rFonts w:hint="eastAsia" w:ascii="仿宋" w:hAnsi="仿宋" w:eastAsia="仿宋" w:cs="仿宋_GB2312"/>
          <w:sz w:val="32"/>
          <w:szCs w:val="32"/>
        </w:rPr>
        <w:t>项目官方微信</w:t>
      </w:r>
    </w:p>
    <w:p>
      <w:pPr>
        <w:ind w:firstLine="560" w:firstLineChars="200"/>
        <w:rPr>
          <w:rFonts w:ascii="仿宋" w:hAnsi="仿宋" w:eastAsia="仿宋" w:cs="Arial"/>
          <w:color w:val="5A5A5A"/>
          <w:sz w:val="28"/>
          <w:szCs w:val="28"/>
        </w:rPr>
      </w:pPr>
      <w:r>
        <w:rPr>
          <w:rFonts w:hint="eastAsia" w:ascii="仿宋" w:hAnsi="仿宋" w:eastAsia="仿宋" w:cs="Arial"/>
          <w:color w:val="5A5A5A"/>
          <w:sz w:val="28"/>
          <w:szCs w:val="28"/>
        </w:rPr>
        <w:t xml:space="preserve">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3497B"/>
    <w:multiLevelType w:val="singleLevel"/>
    <w:tmpl w:val="1FA3497B"/>
    <w:lvl w:ilvl="0" w:tentative="0">
      <w:start w:val="3"/>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07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styleId="5">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2024-09-20T02:27:55Z</dcterms:created>
  <dc:creator>Si Wen Bin</dc:creator>
  <cp:lastModifiedBy>司文彬</cp:lastModifiedBy>
  <dcterms:modified xsi:type="dcterms:W3CDTF">2024-09-20T02:31:15Z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5F0D3918A7E14595B0984DA2A785EB43</vt:lpwstr>
  </property>
</Properties>
</file>