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D953D">
      <w:pPr>
        <w:widowControl w:val="0"/>
        <w:kinsoku/>
        <w:autoSpaceDE/>
        <w:autoSpaceDN/>
        <w:adjustRightInd/>
        <w:snapToGrid/>
        <w:spacing w:before="156" w:beforeLines="50" w:after="156" w:afterLines="50"/>
        <w:jc w:val="left"/>
        <w:textAlignment w:val="auto"/>
        <w:rPr>
          <w:rFonts w:hint="eastAsia" w:ascii="仿宋_GB2312" w:hAnsi="仿宋_GB2312" w:eastAsia="仿宋_GB2312" w:cs="仿宋_GB2312"/>
          <w:snapToGrid/>
          <w:color w:val="FF0000"/>
          <w:spacing w:val="18"/>
          <w:kern w:val="2"/>
          <w:sz w:val="24"/>
          <w:szCs w:val="24"/>
        </w:rPr>
      </w:pPr>
      <w:r>
        <w:rPr>
          <w:rFonts w:hint="eastAsia" w:ascii="仿宋_GB2312" w:hAnsi="仿宋_GB2312" w:eastAsia="仿宋_GB2312" w:cs="仿宋_GB2312"/>
          <w:snapToGrid/>
          <w:color w:val="FF0000"/>
          <w:spacing w:val="18"/>
          <w:kern w:val="2"/>
          <w:sz w:val="24"/>
          <w:szCs w:val="24"/>
        </w:rPr>
        <w:t>*本手册主要介绍</w:t>
      </w:r>
      <w:r>
        <w:rPr>
          <w:rFonts w:hint="eastAsia" w:ascii="仿宋_GB2312" w:hAnsi="仿宋_GB2312" w:eastAsia="仿宋_GB2312" w:cs="仿宋_GB2312"/>
          <w:snapToGrid/>
          <w:color w:val="FF0000"/>
          <w:spacing w:val="18"/>
          <w:kern w:val="2"/>
          <w:sz w:val="24"/>
          <w:szCs w:val="24"/>
          <w:lang w:val="en-US" w:eastAsia="zh-CN"/>
        </w:rPr>
        <w:t>会计师事务所财务报告报备</w:t>
      </w:r>
      <w:r>
        <w:rPr>
          <w:rFonts w:hint="eastAsia" w:ascii="仿宋_GB2312" w:hAnsi="仿宋_GB2312" w:eastAsia="仿宋_GB2312" w:cs="仿宋_GB2312"/>
          <w:snapToGrid/>
          <w:color w:val="FF0000"/>
          <w:spacing w:val="18"/>
          <w:kern w:val="2"/>
          <w:sz w:val="24"/>
          <w:szCs w:val="24"/>
        </w:rPr>
        <w:t>操作步骤</w:t>
      </w:r>
    </w:p>
    <w:p w14:paraId="0E6ACA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Times New Roman"/>
          <w:b/>
          <w:bCs/>
          <w:snapToGrid/>
          <w:kern w:val="2"/>
          <w:sz w:val="44"/>
          <w:szCs w:val="44"/>
        </w:rPr>
      </w:pPr>
    </w:p>
    <w:p w14:paraId="70B172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Times New Roman"/>
          <w:b/>
          <w:bCs/>
          <w:snapToGrid/>
          <w:kern w:val="2"/>
          <w:sz w:val="44"/>
          <w:szCs w:val="44"/>
        </w:rPr>
      </w:pPr>
    </w:p>
    <w:p w14:paraId="34BF4A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Times New Roman"/>
          <w:b/>
          <w:bCs/>
          <w:snapToGrid/>
          <w:kern w:val="2"/>
          <w:sz w:val="44"/>
          <w:szCs w:val="44"/>
        </w:rPr>
      </w:pPr>
    </w:p>
    <w:p w14:paraId="5D6284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Times New Roman"/>
          <w:b/>
          <w:bCs/>
          <w:snapToGrid/>
          <w:kern w:val="2"/>
          <w:sz w:val="44"/>
          <w:szCs w:val="44"/>
        </w:rPr>
      </w:pPr>
    </w:p>
    <w:p w14:paraId="5CEFAE61">
      <w:pPr>
        <w:widowControl/>
        <w:tabs>
          <w:tab w:val="left" w:pos="4410"/>
        </w:tabs>
        <w:kinsoku/>
        <w:autoSpaceDE/>
        <w:autoSpaceDN/>
        <w:adjustRightInd/>
        <w:snapToGrid/>
        <w:spacing w:before="156" w:beforeLines="50" w:after="156" w:afterLines="50" w:line="360" w:lineRule="auto"/>
        <w:ind w:firstLine="0" w:firstLineChars="0"/>
        <w:jc w:val="center"/>
        <w:textAlignment w:val="auto"/>
        <w:rPr>
          <w:rFonts w:hint="eastAsia" w:ascii="宋体" w:hAnsi="Arial" w:eastAsia="宋体" w:cs="Times New Roman"/>
          <w:b/>
          <w:snapToGrid/>
          <w:kern w:val="2"/>
          <w:sz w:val="44"/>
          <w:szCs w:val="44"/>
        </w:rPr>
      </w:pPr>
      <w:r>
        <w:rPr>
          <w:rFonts w:hint="eastAsia" w:ascii="宋体" w:hAnsi="Arial" w:eastAsia="宋体" w:cs="Times New Roman"/>
          <w:b/>
          <w:snapToGrid/>
          <w:kern w:val="2"/>
          <w:sz w:val="44"/>
          <w:szCs w:val="44"/>
        </w:rPr>
        <w:t>中国注册会计师协会行业管理信息系统</w:t>
      </w:r>
    </w:p>
    <w:p w14:paraId="27F91270">
      <w:pPr>
        <w:widowControl/>
        <w:tabs>
          <w:tab w:val="left" w:pos="4410"/>
        </w:tabs>
        <w:kinsoku/>
        <w:autoSpaceDE/>
        <w:autoSpaceDN/>
        <w:adjustRightInd/>
        <w:snapToGrid/>
        <w:spacing w:before="156" w:beforeLines="50" w:after="156" w:afterLines="50" w:line="360" w:lineRule="auto"/>
        <w:ind w:firstLine="0" w:firstLineChars="0"/>
        <w:jc w:val="center"/>
        <w:textAlignment w:val="auto"/>
        <w:rPr>
          <w:rFonts w:hint="default" w:ascii="宋体" w:hAnsi="Arial" w:eastAsia="宋体" w:cs="Times New Roman"/>
          <w:b/>
          <w:snapToGrid/>
          <w:kern w:val="2"/>
          <w:sz w:val="44"/>
          <w:szCs w:val="44"/>
          <w:lang w:val="en-US" w:eastAsia="zh-CN"/>
        </w:rPr>
      </w:pPr>
      <w:r>
        <w:rPr>
          <w:rFonts w:hint="eastAsia" w:ascii="宋体" w:eastAsia="宋体" w:cs="Times New Roman"/>
          <w:b/>
          <w:snapToGrid/>
          <w:kern w:val="2"/>
          <w:sz w:val="44"/>
          <w:szCs w:val="44"/>
          <w:lang w:val="en-US" w:eastAsia="zh-CN"/>
        </w:rPr>
        <w:t>财务系统</w:t>
      </w:r>
    </w:p>
    <w:p w14:paraId="70940521">
      <w:pPr>
        <w:widowControl/>
        <w:tabs>
          <w:tab w:val="left" w:pos="4410"/>
        </w:tabs>
        <w:kinsoku/>
        <w:autoSpaceDE/>
        <w:autoSpaceDN/>
        <w:adjustRightInd/>
        <w:snapToGrid/>
        <w:spacing w:before="156" w:beforeLines="50" w:after="156" w:afterLines="50" w:line="360" w:lineRule="auto"/>
        <w:ind w:firstLine="0" w:firstLineChars="0"/>
        <w:jc w:val="center"/>
        <w:textAlignment w:val="auto"/>
        <w:rPr>
          <w:rFonts w:hint="default" w:ascii="宋体" w:hAnsi="Arial" w:eastAsia="宋体" w:cs="Times New Roman"/>
          <w:b/>
          <w:snapToGrid/>
          <w:kern w:val="2"/>
          <w:sz w:val="44"/>
          <w:szCs w:val="44"/>
          <w:lang w:val="en-US"/>
        </w:rPr>
      </w:pPr>
      <w:r>
        <w:rPr>
          <w:rFonts w:hint="eastAsia" w:ascii="宋体" w:eastAsia="宋体" w:cs="Times New Roman"/>
          <w:b/>
          <w:snapToGrid/>
          <w:kern w:val="2"/>
          <w:sz w:val="44"/>
          <w:szCs w:val="44"/>
          <w:lang w:val="en-US" w:eastAsia="zh-CN"/>
        </w:rPr>
        <w:t>会计师事务所</w:t>
      </w:r>
      <w:r>
        <w:rPr>
          <w:rFonts w:hint="eastAsia" w:ascii="宋体" w:hAnsi="Arial" w:eastAsia="宋体" w:cs="Times New Roman"/>
          <w:b/>
          <w:snapToGrid/>
          <w:kern w:val="2"/>
          <w:sz w:val="44"/>
          <w:szCs w:val="44"/>
          <w:lang w:val="en-US" w:eastAsia="zh-CN"/>
        </w:rPr>
        <w:t>财务报告报备操作手册</w:t>
      </w:r>
    </w:p>
    <w:p w14:paraId="00780B22">
      <w:pPr>
        <w:spacing w:before="368" w:line="223" w:lineRule="auto"/>
        <w:jc w:val="center"/>
        <w:rPr>
          <w:rFonts w:hint="eastAsia" w:ascii="宋体" w:hAnsi="宋体" w:eastAsia="宋体" w:cs="宋体"/>
          <w:b w:val="0"/>
          <w:bCs w:val="0"/>
          <w:spacing w:val="14"/>
          <w:sz w:val="43"/>
          <w:szCs w:val="43"/>
        </w:rPr>
      </w:pPr>
    </w:p>
    <w:p w14:paraId="15CFE566">
      <w:pPr>
        <w:spacing w:before="368" w:line="223" w:lineRule="auto"/>
        <w:jc w:val="center"/>
        <w:rPr>
          <w:rFonts w:hint="eastAsia" w:ascii="宋体" w:hAnsi="宋体" w:eastAsia="宋体" w:cs="宋体"/>
          <w:b w:val="0"/>
          <w:bCs w:val="0"/>
          <w:spacing w:val="14"/>
          <w:sz w:val="43"/>
          <w:szCs w:val="43"/>
        </w:rPr>
      </w:pPr>
    </w:p>
    <w:p w14:paraId="3803326A">
      <w:pPr>
        <w:spacing w:before="368" w:line="223" w:lineRule="auto"/>
        <w:jc w:val="center"/>
        <w:rPr>
          <w:rFonts w:hint="eastAsia" w:ascii="宋体" w:hAnsi="宋体" w:eastAsia="宋体" w:cs="宋体"/>
          <w:b w:val="0"/>
          <w:bCs w:val="0"/>
          <w:spacing w:val="14"/>
          <w:sz w:val="43"/>
          <w:szCs w:val="43"/>
        </w:rPr>
      </w:pPr>
    </w:p>
    <w:p w14:paraId="66D566B2">
      <w:pPr>
        <w:spacing w:before="368" w:line="223" w:lineRule="auto"/>
        <w:jc w:val="center"/>
        <w:rPr>
          <w:rFonts w:hint="eastAsia" w:ascii="宋体" w:hAnsi="宋体" w:eastAsia="宋体" w:cs="宋体"/>
          <w:b w:val="0"/>
          <w:bCs w:val="0"/>
          <w:spacing w:val="14"/>
          <w:sz w:val="43"/>
          <w:szCs w:val="43"/>
        </w:rPr>
      </w:pPr>
    </w:p>
    <w:p w14:paraId="2BFDCA06">
      <w:pPr>
        <w:spacing w:before="368" w:line="223" w:lineRule="auto"/>
        <w:jc w:val="center"/>
        <w:rPr>
          <w:rFonts w:hint="eastAsia" w:ascii="宋体" w:hAnsi="宋体" w:eastAsia="宋体" w:cs="宋体"/>
          <w:b w:val="0"/>
          <w:bCs w:val="0"/>
          <w:spacing w:val="14"/>
          <w:sz w:val="43"/>
          <w:szCs w:val="43"/>
        </w:rPr>
      </w:pPr>
    </w:p>
    <w:p w14:paraId="2526460A">
      <w:pPr>
        <w:spacing w:before="368" w:line="223" w:lineRule="auto"/>
        <w:jc w:val="center"/>
        <w:rPr>
          <w:rFonts w:hint="eastAsia" w:ascii="宋体" w:hAnsi="宋体" w:eastAsia="宋体" w:cs="宋体"/>
          <w:b w:val="0"/>
          <w:bCs w:val="0"/>
          <w:spacing w:val="14"/>
          <w:sz w:val="43"/>
          <w:szCs w:val="43"/>
        </w:rPr>
      </w:pPr>
    </w:p>
    <w:p w14:paraId="334BD39E">
      <w:pPr>
        <w:spacing w:before="368" w:line="223" w:lineRule="auto"/>
        <w:jc w:val="center"/>
        <w:rPr>
          <w:rFonts w:hint="eastAsia" w:ascii="宋体" w:hAnsi="宋体" w:eastAsia="宋体" w:cs="宋体"/>
          <w:b w:val="0"/>
          <w:bCs w:val="0"/>
          <w:spacing w:val="14"/>
          <w:sz w:val="43"/>
          <w:szCs w:val="43"/>
        </w:rPr>
      </w:pPr>
    </w:p>
    <w:p w14:paraId="6B84035E">
      <w:pPr>
        <w:kinsoku/>
        <w:autoSpaceDE/>
        <w:autoSpaceDN/>
        <w:adjustRightInd/>
        <w:snapToGrid/>
        <w:ind w:firstLine="0" w:firstLineChars="0"/>
        <w:jc w:val="center"/>
        <w:textAlignment w:val="auto"/>
        <w:rPr>
          <w:rFonts w:hint="default" w:ascii="宋体" w:eastAsia="宋体" w:cs="Times New Roman"/>
          <w:snapToGrid/>
          <w:kern w:val="2"/>
          <w:sz w:val="28"/>
          <w:szCs w:val="28"/>
          <w:lang w:val="en-US" w:eastAsia="zh-CN"/>
        </w:rPr>
        <w:sectPr>
          <w:headerReference r:id="rId3" w:type="default"/>
          <w:pgSz w:w="11907" w:h="16840"/>
          <w:pgMar w:top="1440" w:right="1800" w:bottom="1440" w:left="1800" w:header="0" w:footer="1554" w:gutter="0"/>
          <w:pgNumType w:fmt="decimal"/>
          <w:cols w:space="720" w:num="1"/>
        </w:sectPr>
      </w:pPr>
      <w:r>
        <w:rPr>
          <w:rFonts w:hint="eastAsia" w:ascii="宋体" w:eastAsia="宋体" w:cs="Times New Roman"/>
          <w:snapToGrid/>
          <w:kern w:val="2"/>
          <w:sz w:val="28"/>
          <w:szCs w:val="28"/>
        </w:rPr>
        <w:t>202</w:t>
      </w:r>
      <w:r>
        <w:rPr>
          <w:rFonts w:hint="eastAsia" w:ascii="宋体" w:eastAsia="宋体" w:cs="Times New Roman"/>
          <w:snapToGrid/>
          <w:kern w:val="2"/>
          <w:sz w:val="28"/>
          <w:szCs w:val="28"/>
          <w:lang w:val="en-US" w:eastAsia="zh-CN"/>
        </w:rPr>
        <w:t>6</w:t>
      </w:r>
      <w:r>
        <w:rPr>
          <w:rFonts w:hint="eastAsia" w:ascii="宋体" w:eastAsia="宋体" w:cs="Times New Roman"/>
          <w:snapToGrid/>
          <w:kern w:val="2"/>
          <w:sz w:val="28"/>
          <w:szCs w:val="28"/>
        </w:rPr>
        <w:t>-</w:t>
      </w:r>
      <w:r>
        <w:rPr>
          <w:rFonts w:hint="eastAsia" w:ascii="宋体" w:eastAsia="宋体" w:cs="Times New Roman"/>
          <w:snapToGrid/>
          <w:kern w:val="2"/>
          <w:sz w:val="28"/>
          <w:szCs w:val="28"/>
          <w:lang w:val="en-US" w:eastAsia="zh-CN"/>
        </w:rPr>
        <w:t>01</w:t>
      </w:r>
    </w:p>
    <w:p w14:paraId="069C46C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outlineLvl w:val="0"/>
        <w:rPr>
          <w:rFonts w:hint="eastAsia" w:ascii="仿宋_GB2312" w:hAnsi="仿宋_GB2312" w:eastAsia="仿宋_GB2312" w:cs="仿宋_GB2312"/>
          <w:b w:val="0"/>
          <w:bCs w:val="0"/>
          <w:spacing w:val="33"/>
          <w:sz w:val="28"/>
          <w:szCs w:val="28"/>
          <w14:textOutline w14:w="8585" w14:cap="flat" w14:cmpd="sng" w14:algn="ctr">
            <w14:solidFill>
              <w14:srgbClr w14:val="000000"/>
            </w14:solidFill>
            <w14:prstDash w14:val="solid"/>
            <w14:miter w14:val="0"/>
          </w14:textOutline>
        </w:rPr>
      </w:pPr>
      <w:bookmarkStart w:id="0" w:name="_bookmark1"/>
      <w:bookmarkEnd w:id="0"/>
      <w:r>
        <w:rPr>
          <w:rFonts w:hint="eastAsia" w:ascii="仿宋_GB2312" w:hAnsi="仿宋_GB2312" w:eastAsia="仿宋_GB2312" w:cs="仿宋_GB2312"/>
          <w:b w:val="0"/>
          <w:bCs w:val="0"/>
          <w:spacing w:val="33"/>
          <w:sz w:val="28"/>
          <w:szCs w:val="28"/>
          <w:lang w:val="en-US" w:eastAsia="zh-CN"/>
          <w14:textOutline w14:w="8585" w14:cap="flat" w14:cmpd="sng" w14:algn="ctr">
            <w14:solidFill>
              <w14:srgbClr w14:val="000000"/>
            </w14:solidFill>
            <w14:prstDash w14:val="solid"/>
            <w14:miter w14:val="0"/>
          </w14:textOutline>
        </w:rPr>
        <w:t>一、</w:t>
      </w:r>
      <w:r>
        <w:rPr>
          <w:rFonts w:hint="eastAsia" w:ascii="仿宋_GB2312" w:hAnsi="仿宋_GB2312" w:eastAsia="仿宋_GB2312" w:cs="仿宋_GB2312"/>
          <w:b w:val="0"/>
          <w:bCs w:val="0"/>
          <w:spacing w:val="33"/>
          <w:sz w:val="28"/>
          <w:szCs w:val="28"/>
          <w14:textOutline w14:w="8585" w14:cap="flat" w14:cmpd="sng" w14:algn="ctr">
            <w14:solidFill>
              <w14:srgbClr w14:val="000000"/>
            </w14:solidFill>
            <w14:prstDash w14:val="solid"/>
            <w14:miter w14:val="0"/>
          </w14:textOutline>
        </w:rPr>
        <w:t>概述</w:t>
      </w:r>
    </w:p>
    <w:p w14:paraId="596C7B87">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outlineLvl w:val="1"/>
        <w:rPr>
          <w:rFonts w:hint="eastAsia" w:ascii="仿宋_GB2312" w:hAnsi="仿宋_GB2312" w:eastAsia="仿宋_GB2312" w:cs="仿宋_GB2312"/>
          <w:b/>
          <w:bCs/>
          <w:snapToGrid/>
          <w:spacing w:val="8"/>
          <w:kern w:val="2"/>
          <w:sz w:val="28"/>
          <w:szCs w:val="28"/>
          <w:lang w:val="en-US" w:eastAsia="zh-CN"/>
        </w:rPr>
      </w:pPr>
      <w:r>
        <w:rPr>
          <w:rFonts w:hint="eastAsia" w:ascii="仿宋_GB2312" w:hAnsi="仿宋_GB2312" w:eastAsia="仿宋_GB2312" w:cs="仿宋_GB2312"/>
          <w:b/>
          <w:bCs/>
          <w:snapToGrid/>
          <w:spacing w:val="8"/>
          <w:kern w:val="2"/>
          <w:sz w:val="28"/>
          <w:szCs w:val="28"/>
          <w:lang w:val="en-US" w:eastAsia="zh-CN"/>
        </w:rPr>
        <w:t>1.申请流程</w:t>
      </w:r>
    </w:p>
    <w:p w14:paraId="3A26DAF9">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default"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会计师事务所填写财务报告报备时填报类型为“连续填报”时正常填报即可。会计师事务所填报类型为“新设立”或“上年应报未报”时需单独填写新设立、上年应报未报申请。在申请审核未完成时不可以填写上年数据，审核通过后可正常填写上年数据。</w:t>
      </w:r>
    </w:p>
    <w:p w14:paraId="4210FB1F">
      <w:pPr>
        <w:spacing w:line="398" w:lineRule="auto"/>
        <w:jc w:val="center"/>
        <w:rPr>
          <w:rFonts w:hint="eastAsia" w:ascii="Arial" w:hAnsi="Arial" w:cs="Arial"/>
          <w:sz w:val="18"/>
          <w:szCs w:val="18"/>
          <w:lang w:val="en-US" w:eastAsia="zh-CN"/>
        </w:rPr>
      </w:pPr>
      <w:r>
        <w:drawing>
          <wp:inline distT="0" distB="0" distL="114300" distR="114300">
            <wp:extent cx="2698750" cy="2771775"/>
            <wp:effectExtent l="0" t="0" r="635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698750" cy="2771775"/>
                    </a:xfrm>
                    <a:prstGeom prst="rect">
                      <a:avLst/>
                    </a:prstGeom>
                    <a:noFill/>
                    <a:ln>
                      <a:noFill/>
                    </a:ln>
                  </pic:spPr>
                </pic:pic>
              </a:graphicData>
            </a:graphic>
          </wp:inline>
        </w:drawing>
      </w:r>
    </w:p>
    <w:p w14:paraId="0F3A04AF">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eastAsia" w:ascii="宋体" w:hAnsi="宋体" w:eastAsia="宋体" w:cs="宋体"/>
          <w:b w:val="0"/>
          <w:bCs w:val="0"/>
          <w:spacing w:val="33"/>
          <w:sz w:val="32"/>
          <w:szCs w:val="32"/>
          <w:lang w:val="en-US" w:eastAsia="zh-CN"/>
          <w14:textOutline w14:w="8585" w14:cap="flat" w14:cmpd="sng" w14:algn="ctr">
            <w14:solidFill>
              <w14:srgbClr w14:val="000000"/>
            </w14:solidFill>
            <w14:prstDash w14:val="solid"/>
            <w14:miter w14:val="0"/>
          </w14:textOutline>
        </w:rPr>
      </w:pPr>
      <w:r>
        <w:rPr>
          <w:rFonts w:hint="eastAsia" w:ascii="仿宋_GB2312" w:hAnsi="仿宋_GB2312" w:eastAsia="仿宋_GB2312" w:cs="仿宋_GB2312"/>
          <w:snapToGrid/>
          <w:kern w:val="2"/>
          <w:sz w:val="21"/>
          <w:szCs w:val="21"/>
          <w:lang w:val="en-US" w:eastAsia="zh-CN"/>
        </w:rPr>
        <w:t>图 1 财务上报流程图</w:t>
      </w:r>
    </w:p>
    <w:p w14:paraId="4EC3A888">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outlineLvl w:val="0"/>
        <w:rPr>
          <w:rFonts w:hint="eastAsia" w:ascii="仿宋_GB2312" w:hAnsi="仿宋_GB2312" w:eastAsia="仿宋_GB2312" w:cs="仿宋_GB2312"/>
          <w:b w:val="0"/>
          <w:bCs w:val="0"/>
          <w:spacing w:val="33"/>
          <w:sz w:val="28"/>
          <w:szCs w:val="28"/>
          <w:lang w:val="en-US" w:eastAsia="zh-CN"/>
          <w14:textOutline w14:w="8585" w14:cap="flat" w14:cmpd="sng" w14:algn="ctr">
            <w14:solidFill>
              <w14:srgbClr w14:val="000000"/>
            </w14:solidFill>
            <w14:prstDash w14:val="solid"/>
            <w14:miter w14:val="0"/>
          </w14:textOutline>
        </w:rPr>
      </w:pPr>
      <w:r>
        <w:rPr>
          <w:rFonts w:hint="eastAsia" w:ascii="仿宋_GB2312" w:hAnsi="仿宋_GB2312" w:eastAsia="仿宋_GB2312" w:cs="仿宋_GB2312"/>
          <w:b w:val="0"/>
          <w:bCs w:val="0"/>
          <w:spacing w:val="33"/>
          <w:sz w:val="28"/>
          <w:szCs w:val="28"/>
          <w:lang w:val="en-US" w:eastAsia="zh-CN"/>
          <w14:textOutline w14:w="8585" w14:cap="flat" w14:cmpd="sng" w14:algn="ctr">
            <w14:solidFill>
              <w14:srgbClr w14:val="000000"/>
            </w14:solidFill>
            <w14:prstDash w14:val="solid"/>
            <w14:miter w14:val="0"/>
          </w14:textOutline>
        </w:rPr>
        <w:t>二、系统操作</w:t>
      </w:r>
    </w:p>
    <w:p w14:paraId="32394228">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outlineLvl w:val="1"/>
        <w:rPr>
          <w:rFonts w:hint="default" w:ascii="仿宋_GB2312" w:hAnsi="仿宋_GB2312" w:eastAsia="仿宋_GB2312" w:cs="仿宋_GB2312"/>
          <w:b/>
          <w:bCs/>
          <w:snapToGrid/>
          <w:spacing w:val="8"/>
          <w:kern w:val="2"/>
          <w:sz w:val="28"/>
          <w:szCs w:val="28"/>
          <w:lang w:val="en-US" w:eastAsia="zh-CN"/>
        </w:rPr>
      </w:pPr>
      <w:r>
        <w:rPr>
          <w:rFonts w:hint="eastAsia" w:ascii="仿宋_GB2312" w:hAnsi="仿宋_GB2312" w:eastAsia="仿宋_GB2312" w:cs="仿宋_GB2312"/>
          <w:b/>
          <w:bCs/>
          <w:snapToGrid/>
          <w:spacing w:val="8"/>
          <w:kern w:val="2"/>
          <w:sz w:val="28"/>
          <w:szCs w:val="28"/>
          <w:lang w:val="en-US" w:eastAsia="zh-CN"/>
        </w:rPr>
        <w:t>1.系统登录</w:t>
      </w:r>
    </w:p>
    <w:p w14:paraId="3CBAF02D">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会计师事务所访问行业管理信息系统（cmis.cicpa.org.cn），使用会计师事务所财务账号（会计师事务所编号+_cw）登录系统。初始密码为会计师事务所所在省会（直辖市）固话区号+主任会计师（分所负责人）身份证号后四位。</w:t>
      </w:r>
    </w:p>
    <w:p w14:paraId="1A4E8C96">
      <w:pPr>
        <w:spacing w:line="398" w:lineRule="auto"/>
        <w:jc w:val="center"/>
      </w:pPr>
      <w:r>
        <w:drawing>
          <wp:inline distT="0" distB="0" distL="114300" distR="114300">
            <wp:extent cx="4240530" cy="2087880"/>
            <wp:effectExtent l="0" t="0" r="7620"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4240530" cy="2087880"/>
                    </a:xfrm>
                    <a:prstGeom prst="rect">
                      <a:avLst/>
                    </a:prstGeom>
                    <a:ln w="3175">
                      <a:noFill/>
                    </a:ln>
                  </pic:spPr>
                </pic:pic>
              </a:graphicData>
            </a:graphic>
          </wp:inline>
        </w:drawing>
      </w:r>
    </w:p>
    <w:p w14:paraId="36EA6358">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eastAsia"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2 行业管理系统登录</w:t>
      </w:r>
    </w:p>
    <w:p w14:paraId="20F894CA">
      <w:pPr>
        <w:keepNext w:val="0"/>
        <w:keepLines w:val="0"/>
        <w:pageBreakBefore w:val="0"/>
        <w:widowControl w:val="0"/>
        <w:kinsoku/>
        <w:wordWrap/>
        <w:overflowPunct/>
        <w:topLinePunct w:val="0"/>
        <w:autoSpaceDE/>
        <w:autoSpaceDN/>
        <w:bidi w:val="0"/>
        <w:adjustRightInd/>
        <w:snapToGrid/>
        <w:spacing w:before="156" w:beforeLines="50" w:after="156" w:afterLines="50"/>
        <w:ind w:firstLine="552" w:firstLineChars="200"/>
        <w:jc w:val="left"/>
        <w:textAlignment w:val="auto"/>
        <w:rPr>
          <w:rFonts w:hint="default" w:ascii="仿宋_GB2312" w:hAnsi="仿宋_GB2312" w:eastAsia="仿宋_GB2312" w:cs="仿宋_GB2312"/>
          <w:snapToGrid/>
          <w:color w:val="FF0000"/>
          <w:spacing w:val="18"/>
          <w:kern w:val="2"/>
          <w:sz w:val="24"/>
          <w:szCs w:val="24"/>
          <w:lang w:val="en-US" w:eastAsia="zh-CN"/>
        </w:rPr>
      </w:pPr>
      <w:r>
        <w:rPr>
          <w:rFonts w:hint="eastAsia" w:ascii="仿宋_GB2312" w:hAnsi="仿宋_GB2312" w:eastAsia="仿宋_GB2312" w:cs="仿宋_GB2312"/>
          <w:snapToGrid/>
          <w:color w:val="FF0000"/>
          <w:spacing w:val="18"/>
          <w:kern w:val="2"/>
          <w:sz w:val="24"/>
          <w:szCs w:val="24"/>
          <w:lang w:val="en-US" w:eastAsia="zh-CN"/>
        </w:rPr>
        <w:t>注：忘记密码参考《会计师事务所密码找回操作手册》。</w:t>
      </w:r>
    </w:p>
    <w:p w14:paraId="27282F53">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outlineLvl w:val="1"/>
        <w:rPr>
          <w:rFonts w:hint="default" w:ascii="仿宋_GB2312" w:hAnsi="仿宋_GB2312" w:eastAsia="仿宋_GB2312" w:cs="仿宋_GB2312"/>
          <w:b/>
          <w:bCs/>
          <w:snapToGrid/>
          <w:spacing w:val="8"/>
          <w:kern w:val="2"/>
          <w:sz w:val="28"/>
          <w:szCs w:val="28"/>
          <w:lang w:val="en-US" w:eastAsia="zh-CN"/>
        </w:rPr>
      </w:pPr>
      <w:r>
        <w:rPr>
          <w:rFonts w:hint="eastAsia" w:ascii="仿宋_GB2312" w:hAnsi="仿宋_GB2312" w:eastAsia="仿宋_GB2312" w:cs="仿宋_GB2312"/>
          <w:b/>
          <w:bCs/>
          <w:snapToGrid/>
          <w:spacing w:val="8"/>
          <w:kern w:val="2"/>
          <w:sz w:val="28"/>
          <w:szCs w:val="28"/>
          <w:lang w:val="en-US" w:eastAsia="zh-CN"/>
        </w:rPr>
        <w:t>2.填报类型选择</w:t>
      </w:r>
    </w:p>
    <w:p w14:paraId="14C84735">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default"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2.1会计师事务所用户登录行业管理信息系统后点击【年报填写】功能。</w:t>
      </w:r>
    </w:p>
    <w:p w14:paraId="765D0F8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120" w:lineRule="auto"/>
        <w:jc w:val="center"/>
        <w:textAlignment w:val="baseline"/>
        <w:rPr>
          <w:rFonts w:hint="eastAsia" w:ascii="Arial" w:hAnsi="Arial" w:cs="Arial"/>
          <w:sz w:val="18"/>
          <w:szCs w:val="18"/>
          <w:lang w:val="en-US" w:eastAsia="zh-CN"/>
        </w:rPr>
      </w:pPr>
      <w:r>
        <w:drawing>
          <wp:inline distT="0" distB="0" distL="114300" distR="114300">
            <wp:extent cx="1317625" cy="1548130"/>
            <wp:effectExtent l="0" t="0" r="15875" b="1397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8"/>
                    <a:srcRect r="7716"/>
                    <a:stretch>
                      <a:fillRect/>
                    </a:stretch>
                  </pic:blipFill>
                  <pic:spPr>
                    <a:xfrm>
                      <a:off x="0" y="0"/>
                      <a:ext cx="1317625" cy="1548130"/>
                    </a:xfrm>
                    <a:prstGeom prst="rect">
                      <a:avLst/>
                    </a:prstGeom>
                    <a:noFill/>
                    <a:ln>
                      <a:noFill/>
                    </a:ln>
                  </pic:spPr>
                </pic:pic>
              </a:graphicData>
            </a:graphic>
          </wp:inline>
        </w:drawing>
      </w:r>
    </w:p>
    <w:p w14:paraId="637CEBCC">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default"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3 年报填写界面</w:t>
      </w:r>
    </w:p>
    <w:p w14:paraId="3E4DC4CF">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2.2系统会自动弹出选择“事务所填报类型”弹窗。会计师事务所根据自身情况选择填报情况。</w:t>
      </w:r>
    </w:p>
    <w:p w14:paraId="1F0EFC5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360" w:lineRule="auto"/>
        <w:jc w:val="center"/>
        <w:textAlignment w:val="auto"/>
      </w:pPr>
      <w:r>
        <w:drawing>
          <wp:inline distT="0" distB="0" distL="114300" distR="114300">
            <wp:extent cx="3601720" cy="1332230"/>
            <wp:effectExtent l="0" t="0" r="1778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3601720" cy="1332230"/>
                    </a:xfrm>
                    <a:prstGeom prst="rect">
                      <a:avLst/>
                    </a:prstGeom>
                    <a:noFill/>
                    <a:ln>
                      <a:noFill/>
                    </a:ln>
                  </pic:spPr>
                </pic:pic>
              </a:graphicData>
            </a:graphic>
          </wp:inline>
        </w:drawing>
      </w:r>
    </w:p>
    <w:p w14:paraId="48F8E000">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eastAsia"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4 选择填报类型</w:t>
      </w:r>
    </w:p>
    <w:p w14:paraId="130B5647">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outlineLvl w:val="1"/>
        <w:rPr>
          <w:rFonts w:hint="default" w:ascii="仿宋_GB2312" w:hAnsi="仿宋_GB2312" w:eastAsia="仿宋_GB2312" w:cs="仿宋_GB2312"/>
          <w:b/>
          <w:bCs/>
          <w:snapToGrid/>
          <w:spacing w:val="8"/>
          <w:kern w:val="2"/>
          <w:sz w:val="28"/>
          <w:szCs w:val="28"/>
          <w:lang w:val="en-US" w:eastAsia="zh-CN"/>
        </w:rPr>
      </w:pPr>
      <w:r>
        <w:rPr>
          <w:rFonts w:hint="eastAsia" w:ascii="仿宋_GB2312" w:hAnsi="仿宋_GB2312" w:eastAsia="仿宋_GB2312" w:cs="仿宋_GB2312"/>
          <w:b/>
          <w:bCs/>
          <w:snapToGrid/>
          <w:spacing w:val="8"/>
          <w:kern w:val="2"/>
          <w:sz w:val="28"/>
          <w:szCs w:val="28"/>
          <w:lang w:val="en-US" w:eastAsia="zh-CN"/>
        </w:rPr>
        <w:t>3.连续填报</w:t>
      </w:r>
    </w:p>
    <w:p w14:paraId="551309CD">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会计师事务所填报类系列为“连续填报”时，系统自动跳转到报表填写界面，直接点击【提取期初数】按钮系统会自动带出会计师事务所报表封面数据及其他报表上年数据。需填写本年数据。</w:t>
      </w:r>
    </w:p>
    <w:p w14:paraId="229910C1">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360" w:lineRule="auto"/>
        <w:jc w:val="center"/>
        <w:textAlignment w:val="auto"/>
      </w:pPr>
      <w:r>
        <w:drawing>
          <wp:inline distT="0" distB="0" distL="114300" distR="114300">
            <wp:extent cx="3462655" cy="2160270"/>
            <wp:effectExtent l="0" t="0" r="4445"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3462655" cy="2160270"/>
                    </a:xfrm>
                    <a:prstGeom prst="rect">
                      <a:avLst/>
                    </a:prstGeom>
                    <a:noFill/>
                    <a:ln>
                      <a:noFill/>
                    </a:ln>
                  </pic:spPr>
                </pic:pic>
              </a:graphicData>
            </a:graphic>
          </wp:inline>
        </w:drawing>
      </w:r>
    </w:p>
    <w:p w14:paraId="09E2FCF7">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default"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 xml:space="preserve">图 5 </w:t>
      </w:r>
      <w:r>
        <w:rPr>
          <w:rFonts w:hint="default" w:ascii="仿宋_GB2312" w:hAnsi="仿宋_GB2312" w:eastAsia="仿宋_GB2312" w:cs="仿宋_GB2312"/>
          <w:snapToGrid/>
          <w:kern w:val="2"/>
          <w:sz w:val="21"/>
          <w:szCs w:val="21"/>
          <w:lang w:val="en-US" w:eastAsia="zh-CN"/>
        </w:rPr>
        <w:t>年报填写界面</w:t>
      </w:r>
    </w:p>
    <w:p w14:paraId="70FA90BA">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outlineLvl w:val="1"/>
        <w:rPr>
          <w:rFonts w:hint="default" w:ascii="仿宋_GB2312" w:hAnsi="仿宋_GB2312" w:eastAsia="仿宋_GB2312" w:cs="仿宋_GB2312"/>
          <w:b/>
          <w:bCs/>
          <w:snapToGrid/>
          <w:spacing w:val="8"/>
          <w:kern w:val="2"/>
          <w:sz w:val="28"/>
          <w:szCs w:val="28"/>
          <w:lang w:val="en-US" w:eastAsia="zh-CN"/>
        </w:rPr>
      </w:pPr>
      <w:r>
        <w:rPr>
          <w:rFonts w:hint="eastAsia" w:ascii="仿宋_GB2312" w:hAnsi="仿宋_GB2312" w:eastAsia="仿宋_GB2312" w:cs="仿宋_GB2312"/>
          <w:b/>
          <w:bCs/>
          <w:snapToGrid/>
          <w:spacing w:val="8"/>
          <w:kern w:val="2"/>
          <w:sz w:val="28"/>
          <w:szCs w:val="28"/>
          <w:lang w:val="en-US" w:eastAsia="zh-CN"/>
        </w:rPr>
        <w:t>4.新设立或上年应报未报</w:t>
      </w:r>
    </w:p>
    <w:p w14:paraId="1DF6B251">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default"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4.1会计师事务所填报类系列为“新设立”或“上年应报未报”时，系统自动跳转到“新设立或上年应报未报会计师事务所申请”界面。系统自动带出会计师事务所编号、名称、填报类型、成立时间等信息，会计师事务所需上传新设所证明材料或改制或重组的相关文件。上年应报未报会计师事务所请上传上年审计报告。填写完成后点击【保存】按钮系统提示保存成功后点击【提交】按钮系统提示提交成功即可。</w:t>
      </w:r>
    </w:p>
    <w:p w14:paraId="3DAB9D7E">
      <w:pPr>
        <w:keepNext w:val="0"/>
        <w:keepLines w:val="0"/>
        <w:pageBreakBefore w:val="0"/>
        <w:widowControl w:val="0"/>
        <w:kinsoku/>
        <w:wordWrap/>
        <w:overflowPunct/>
        <w:topLinePunct w:val="0"/>
        <w:autoSpaceDE/>
        <w:autoSpaceDN/>
        <w:bidi w:val="0"/>
        <w:adjustRightInd/>
        <w:snapToGrid/>
        <w:spacing w:before="156" w:beforeLines="50" w:after="156" w:afterLines="50"/>
        <w:ind w:firstLine="552" w:firstLineChars="200"/>
        <w:jc w:val="left"/>
        <w:textAlignment w:val="auto"/>
        <w:rPr>
          <w:rFonts w:hint="default" w:ascii="仿宋_GB2312" w:hAnsi="仿宋_GB2312" w:eastAsia="仿宋_GB2312" w:cs="仿宋_GB2312"/>
          <w:snapToGrid/>
          <w:color w:val="FF0000"/>
          <w:spacing w:val="18"/>
          <w:kern w:val="2"/>
          <w:sz w:val="24"/>
          <w:szCs w:val="24"/>
          <w:lang w:val="en-US" w:eastAsia="zh-CN"/>
        </w:rPr>
      </w:pPr>
      <w:r>
        <w:rPr>
          <w:rFonts w:hint="eastAsia" w:ascii="仿宋_GB2312" w:hAnsi="仿宋_GB2312" w:eastAsia="仿宋_GB2312" w:cs="仿宋_GB2312"/>
          <w:snapToGrid/>
          <w:color w:val="FF0000"/>
          <w:spacing w:val="18"/>
          <w:kern w:val="2"/>
          <w:sz w:val="24"/>
          <w:szCs w:val="24"/>
          <w:lang w:val="en-US" w:eastAsia="zh-CN"/>
        </w:rPr>
        <w:t>注：提交后无法修改，请仔细检查上传材料。如需修改请联系省（直辖市）注协财务部退回。</w:t>
      </w:r>
    </w:p>
    <w:p w14:paraId="674F7F90">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jc w:val="center"/>
        <w:textAlignment w:val="auto"/>
      </w:pPr>
      <w:r>
        <w:drawing>
          <wp:inline distT="0" distB="0" distL="114300" distR="114300">
            <wp:extent cx="4594860" cy="2160270"/>
            <wp:effectExtent l="0" t="0" r="1524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4594860" cy="2160270"/>
                    </a:xfrm>
                    <a:prstGeom prst="rect">
                      <a:avLst/>
                    </a:prstGeom>
                    <a:noFill/>
                    <a:ln>
                      <a:noFill/>
                    </a:ln>
                  </pic:spPr>
                </pic:pic>
              </a:graphicData>
            </a:graphic>
          </wp:inline>
        </w:drawing>
      </w:r>
    </w:p>
    <w:p w14:paraId="6F995C0E">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eastAsia"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6 填写申请</w:t>
      </w:r>
    </w:p>
    <w:p w14:paraId="2D378366">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4.2会计师事务所提交完成后，需要关闭当前页面，重新点击【年报填写】功能，此时系统自动跳转到报表填写界面。此时会计师事务所上年数据为只读状态，本年数据可以填写。待申请审核通过后可以填写上年数据。</w:t>
      </w:r>
    </w:p>
    <w:p w14:paraId="19878AE6">
      <w:pPr>
        <w:keepNext w:val="0"/>
        <w:keepLines w:val="0"/>
        <w:pageBreakBefore w:val="0"/>
        <w:widowControl w:val="0"/>
        <w:kinsoku/>
        <w:wordWrap/>
        <w:overflowPunct/>
        <w:topLinePunct w:val="0"/>
        <w:autoSpaceDE/>
        <w:autoSpaceDN/>
        <w:bidi w:val="0"/>
        <w:adjustRightInd/>
        <w:snapToGrid/>
        <w:spacing w:before="156" w:beforeLines="50" w:after="156" w:afterLines="50"/>
        <w:ind w:firstLine="552" w:firstLineChars="200"/>
        <w:jc w:val="left"/>
        <w:textAlignment w:val="auto"/>
        <w:rPr>
          <w:rFonts w:hint="default" w:ascii="仿宋_GB2312" w:hAnsi="仿宋_GB2312" w:eastAsia="仿宋_GB2312" w:cs="仿宋_GB2312"/>
          <w:snapToGrid/>
          <w:color w:val="FF0000"/>
          <w:spacing w:val="18"/>
          <w:kern w:val="2"/>
          <w:sz w:val="24"/>
          <w:szCs w:val="24"/>
          <w:lang w:val="en-US" w:eastAsia="zh-CN"/>
        </w:rPr>
      </w:pPr>
      <w:r>
        <w:rPr>
          <w:rFonts w:hint="eastAsia" w:ascii="仿宋_GB2312" w:hAnsi="仿宋_GB2312" w:eastAsia="仿宋_GB2312" w:cs="仿宋_GB2312"/>
          <w:snapToGrid/>
          <w:color w:val="FF0000"/>
          <w:spacing w:val="18"/>
          <w:kern w:val="2"/>
          <w:sz w:val="24"/>
          <w:szCs w:val="24"/>
          <w:lang w:val="en-US" w:eastAsia="zh-CN"/>
        </w:rPr>
        <w:t>注：注协审核通过，但是上年数据仍然不可填写，可以通过点击【提取期初数】按钮更新审核状态。</w:t>
      </w:r>
    </w:p>
    <w:p w14:paraId="7F154EA9">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default"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4.3会计师事务所申请通过或驳回时，系统自动在首页【消息通知】推送，点击消息通知内容跳转具体界面查看或重新提交。</w:t>
      </w:r>
    </w:p>
    <w:p w14:paraId="0C3B5B00">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jc w:val="center"/>
        <w:textAlignment w:val="auto"/>
        <w:rPr>
          <w:rFonts w:hint="default" w:ascii="宋体" w:eastAsia="宋体" w:cs="Times New Roman"/>
          <w:snapToGrid/>
          <w:kern w:val="2"/>
          <w:sz w:val="28"/>
          <w:szCs w:val="28"/>
          <w:lang w:val="en-US" w:eastAsia="zh-CN"/>
        </w:rPr>
      </w:pPr>
      <w:r>
        <w:drawing>
          <wp:inline distT="0" distB="0" distL="114300" distR="114300">
            <wp:extent cx="3788410" cy="1656080"/>
            <wp:effectExtent l="0" t="0" r="2540" b="127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3788410" cy="1656080"/>
                    </a:xfrm>
                    <a:prstGeom prst="rect">
                      <a:avLst/>
                    </a:prstGeom>
                    <a:ln w="3175">
                      <a:noFill/>
                    </a:ln>
                  </pic:spPr>
                </pic:pic>
              </a:graphicData>
            </a:graphic>
          </wp:inline>
        </w:drawing>
      </w:r>
    </w:p>
    <w:p w14:paraId="01479410">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eastAsia"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7 首页消息通知</w:t>
      </w:r>
    </w:p>
    <w:p w14:paraId="34177196">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outlineLvl w:val="1"/>
        <w:rPr>
          <w:rFonts w:hint="default" w:ascii="仿宋_GB2312" w:hAnsi="仿宋_GB2312" w:eastAsia="仿宋_GB2312" w:cs="仿宋_GB2312"/>
          <w:b/>
          <w:bCs/>
          <w:snapToGrid/>
          <w:spacing w:val="8"/>
          <w:kern w:val="2"/>
          <w:sz w:val="28"/>
          <w:szCs w:val="28"/>
          <w:lang w:val="en-US" w:eastAsia="zh-CN"/>
        </w:rPr>
      </w:pPr>
      <w:r>
        <w:rPr>
          <w:rFonts w:hint="eastAsia" w:ascii="仿宋_GB2312" w:hAnsi="仿宋_GB2312" w:eastAsia="仿宋_GB2312" w:cs="仿宋_GB2312"/>
          <w:b/>
          <w:bCs/>
          <w:snapToGrid/>
          <w:spacing w:val="8"/>
          <w:kern w:val="2"/>
          <w:sz w:val="28"/>
          <w:szCs w:val="28"/>
          <w:lang w:val="en-US" w:eastAsia="zh-CN"/>
        </w:rPr>
        <w:t>5.数据填写上报</w:t>
      </w:r>
    </w:p>
    <w:p w14:paraId="5574A2F0">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5.1会计师事务所填报类型为“连续填报”时点击【提取期初数】按钮系统会自动带出会计师事务所报表封数据及其他报表上年数据。会计师事务所填报类型为“新设立”或“上年应报未报”时需手工填写上年数据。</w:t>
      </w:r>
    </w:p>
    <w:p w14:paraId="32A2CB20">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数据</w:t>
      </w:r>
      <w:r>
        <w:rPr>
          <w:rFonts w:hint="default" w:ascii="仿宋_GB2312" w:hAnsi="仿宋_GB2312" w:eastAsia="仿宋_GB2312" w:cs="仿宋_GB2312"/>
          <w:b w:val="0"/>
          <w:bCs w:val="0"/>
          <w:snapToGrid/>
          <w:spacing w:val="8"/>
          <w:kern w:val="2"/>
          <w:sz w:val="28"/>
          <w:szCs w:val="28"/>
          <w:lang w:val="en-US" w:eastAsia="zh-CN"/>
        </w:rPr>
        <w:t>填写完成后点击【保存】</w:t>
      </w:r>
      <w:r>
        <w:rPr>
          <w:rFonts w:hint="eastAsia" w:ascii="仿宋_GB2312" w:hAnsi="仿宋_GB2312" w:eastAsia="仿宋_GB2312" w:cs="仿宋_GB2312"/>
          <w:b w:val="0"/>
          <w:bCs w:val="0"/>
          <w:snapToGrid/>
          <w:spacing w:val="8"/>
          <w:kern w:val="2"/>
          <w:sz w:val="28"/>
          <w:szCs w:val="28"/>
          <w:lang w:val="en-US" w:eastAsia="zh-CN"/>
        </w:rPr>
        <w:t>按钮会自动保存并运算单张表需要计算的指标。所有报表数据填写完成后点击【上报】按钮，系统会自动计算报表间需要运算的指标数据并校验是否满足报表间勾稽关系。系统自动给出审核结果。</w:t>
      </w:r>
    </w:p>
    <w:p w14:paraId="6FDBBB97">
      <w:pPr>
        <w:keepNext w:val="0"/>
        <w:keepLines w:val="0"/>
        <w:pageBreakBefore w:val="0"/>
        <w:widowControl/>
        <w:numPr>
          <w:ilvl w:val="0"/>
          <w:numId w:val="0"/>
        </w:numPr>
        <w:tabs>
          <w:tab w:val="left" w:pos="312"/>
        </w:tabs>
        <w:kinsoku/>
        <w:wordWrap/>
        <w:overflowPunct/>
        <w:topLinePunct w:val="0"/>
        <w:autoSpaceDE/>
        <w:autoSpaceDN/>
        <w:bidi w:val="0"/>
        <w:adjustRightInd/>
        <w:snapToGrid/>
        <w:spacing w:before="0" w:beforeLines="50" w:after="0" w:afterLines="50" w:line="360" w:lineRule="auto"/>
        <w:jc w:val="center"/>
        <w:textAlignment w:val="auto"/>
      </w:pPr>
      <w:r>
        <w:drawing>
          <wp:inline distT="0" distB="0" distL="114300" distR="114300">
            <wp:extent cx="3577590" cy="2232025"/>
            <wp:effectExtent l="0" t="0" r="3810" b="1587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0"/>
                    <a:stretch>
                      <a:fillRect/>
                    </a:stretch>
                  </pic:blipFill>
                  <pic:spPr>
                    <a:xfrm>
                      <a:off x="0" y="0"/>
                      <a:ext cx="3577590" cy="2232025"/>
                    </a:xfrm>
                    <a:prstGeom prst="rect">
                      <a:avLst/>
                    </a:prstGeom>
                    <a:noFill/>
                    <a:ln>
                      <a:noFill/>
                    </a:ln>
                  </pic:spPr>
                </pic:pic>
              </a:graphicData>
            </a:graphic>
          </wp:inline>
        </w:drawing>
      </w:r>
    </w:p>
    <w:p w14:paraId="4A4E2FB2">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default"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8 数据填写界面</w:t>
      </w:r>
    </w:p>
    <w:p w14:paraId="2054445E">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default"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5.2审核结果共分为提示型、警告型、错误型。会计师事务所可以根据审核说明对数据进行修改。可通过双击数据跳转到具体出错的数据单元格上。上报时需要全部审核通过。</w:t>
      </w:r>
    </w:p>
    <w:p w14:paraId="0F0F4EBE">
      <w:pPr>
        <w:keepNext w:val="0"/>
        <w:keepLines w:val="0"/>
        <w:pageBreakBefore w:val="0"/>
        <w:widowControl/>
        <w:numPr>
          <w:ilvl w:val="0"/>
          <w:numId w:val="0"/>
        </w:numPr>
        <w:tabs>
          <w:tab w:val="left" w:pos="312"/>
        </w:tabs>
        <w:kinsoku w:val="0"/>
        <w:wordWrap/>
        <w:overflowPunct/>
        <w:topLinePunct w:val="0"/>
        <w:autoSpaceDE w:val="0"/>
        <w:autoSpaceDN w:val="0"/>
        <w:bidi w:val="0"/>
        <w:adjustRightInd w:val="0"/>
        <w:snapToGrid w:val="0"/>
        <w:spacing w:before="0" w:beforeLines="50" w:after="0" w:afterLines="50" w:line="240" w:lineRule="auto"/>
        <w:jc w:val="center"/>
        <w:textAlignment w:val="baseline"/>
        <w:outlineLvl w:val="9"/>
      </w:pPr>
      <w:r>
        <w:drawing>
          <wp:inline distT="0" distB="0" distL="114300" distR="114300">
            <wp:extent cx="4380865" cy="2160270"/>
            <wp:effectExtent l="0" t="0" r="635" b="1143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3"/>
                    <a:stretch>
                      <a:fillRect/>
                    </a:stretch>
                  </pic:blipFill>
                  <pic:spPr>
                    <a:xfrm>
                      <a:off x="0" y="0"/>
                      <a:ext cx="4380865" cy="2160270"/>
                    </a:xfrm>
                    <a:prstGeom prst="rect">
                      <a:avLst/>
                    </a:prstGeom>
                    <a:noFill/>
                    <a:ln>
                      <a:noFill/>
                    </a:ln>
                  </pic:spPr>
                </pic:pic>
              </a:graphicData>
            </a:graphic>
          </wp:inline>
        </w:drawing>
      </w:r>
    </w:p>
    <w:p w14:paraId="739BD0E3">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default"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9 审核信息界面</w:t>
      </w:r>
    </w:p>
    <w:p w14:paraId="5E028076">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提示型：系统使用黄色标识，会计师事务所填写说明文件后可继续完成上报；警告型：系统使用橙色标识，警告可能出现问题，无需额外操作，可直接上报；错误型：系统使用红色标识，不可提交上报，需先调整数据至符合规范，再重新发起上报。</w:t>
      </w:r>
    </w:p>
    <w:p w14:paraId="010B3E13">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outlineLvl w:val="1"/>
        <w:rPr>
          <w:rFonts w:hint="eastAsia" w:ascii="仿宋_GB2312" w:hAnsi="仿宋_GB2312" w:eastAsia="仿宋_GB2312" w:cs="仿宋_GB2312"/>
          <w:b/>
          <w:bCs/>
          <w:snapToGrid/>
          <w:spacing w:val="8"/>
          <w:kern w:val="2"/>
          <w:sz w:val="28"/>
          <w:szCs w:val="28"/>
          <w:lang w:val="en-US" w:eastAsia="zh-CN"/>
        </w:rPr>
      </w:pPr>
      <w:r>
        <w:rPr>
          <w:rFonts w:hint="eastAsia" w:ascii="仿宋_GB2312" w:hAnsi="仿宋_GB2312" w:eastAsia="仿宋_GB2312" w:cs="仿宋_GB2312"/>
          <w:b/>
          <w:bCs/>
          <w:snapToGrid/>
          <w:spacing w:val="8"/>
          <w:kern w:val="2"/>
          <w:sz w:val="28"/>
          <w:szCs w:val="28"/>
          <w:lang w:val="en-US" w:eastAsia="zh-CN"/>
        </w:rPr>
        <w:t>6.数据退回</w:t>
      </w:r>
    </w:p>
    <w:p w14:paraId="634DFD97">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会计师事务所报表被退回后系统自动根据“会计师事务所报表封面”中填写的制表人联系方式自动发送短信，提醒审核被退回。具体退回原因在登录财务报表系统后弹窗提示，或首页【消息通知】中查看。</w:t>
      </w:r>
    </w:p>
    <w:p w14:paraId="236BECBA">
      <w:pPr>
        <w:keepNext w:val="0"/>
        <w:keepLines w:val="0"/>
        <w:pageBreakBefore w:val="0"/>
        <w:widowControl/>
        <w:numPr>
          <w:ilvl w:val="0"/>
          <w:numId w:val="0"/>
        </w:numPr>
        <w:tabs>
          <w:tab w:val="left" w:pos="312"/>
        </w:tabs>
        <w:kinsoku w:val="0"/>
        <w:wordWrap/>
        <w:overflowPunct/>
        <w:topLinePunct w:val="0"/>
        <w:autoSpaceDE w:val="0"/>
        <w:autoSpaceDN w:val="0"/>
        <w:bidi w:val="0"/>
        <w:adjustRightInd w:val="0"/>
        <w:snapToGrid w:val="0"/>
        <w:spacing w:before="0" w:beforeLines="50" w:after="0" w:afterLines="50" w:line="240" w:lineRule="auto"/>
        <w:jc w:val="center"/>
        <w:textAlignment w:val="baseline"/>
        <w:outlineLvl w:val="9"/>
      </w:pPr>
      <w:r>
        <w:drawing>
          <wp:inline distT="0" distB="0" distL="114300" distR="114300">
            <wp:extent cx="2678430" cy="1369060"/>
            <wp:effectExtent l="12700" t="12700" r="13970" b="27940"/>
            <wp:docPr id="19" name="图片 18"/>
            <wp:cNvGraphicFramePr/>
            <a:graphic xmlns:a="http://schemas.openxmlformats.org/drawingml/2006/main">
              <a:graphicData uri="http://schemas.openxmlformats.org/drawingml/2006/picture">
                <pic:pic xmlns:pic="http://schemas.openxmlformats.org/drawingml/2006/picture">
                  <pic:nvPicPr>
                    <pic:cNvPr id="19" name="图片 18"/>
                    <pic:cNvPicPr/>
                  </pic:nvPicPr>
                  <pic:blipFill>
                    <a:blip r:embed="rId14"/>
                    <a:stretch>
                      <a:fillRect/>
                    </a:stretch>
                  </pic:blipFill>
                  <pic:spPr>
                    <a:xfrm>
                      <a:off x="0" y="0"/>
                      <a:ext cx="2678430" cy="1369060"/>
                    </a:xfrm>
                    <a:prstGeom prst="rect">
                      <a:avLst/>
                    </a:prstGeom>
                    <a:ln w="12700" cmpd="sng">
                      <a:solidFill>
                        <a:schemeClr val="bg1"/>
                      </a:solidFill>
                      <a:prstDash val="solid"/>
                    </a:ln>
                  </pic:spPr>
                </pic:pic>
              </a:graphicData>
            </a:graphic>
          </wp:inline>
        </w:drawing>
      </w:r>
    </w:p>
    <w:p w14:paraId="3B5B7E82">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default"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10 退回原因弹窗</w:t>
      </w:r>
    </w:p>
    <w:p w14:paraId="0A2CF88A">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outlineLvl w:val="1"/>
        <w:rPr>
          <w:rFonts w:hint="default" w:ascii="仿宋_GB2312" w:hAnsi="仿宋_GB2312" w:eastAsia="仿宋_GB2312" w:cs="仿宋_GB2312"/>
          <w:b/>
          <w:bCs/>
          <w:snapToGrid/>
          <w:spacing w:val="8"/>
          <w:kern w:val="2"/>
          <w:sz w:val="28"/>
          <w:szCs w:val="28"/>
          <w:lang w:val="en-US" w:eastAsia="zh-CN"/>
        </w:rPr>
      </w:pPr>
      <w:r>
        <w:rPr>
          <w:rFonts w:hint="eastAsia" w:ascii="仿宋_GB2312" w:hAnsi="仿宋_GB2312" w:eastAsia="仿宋_GB2312" w:cs="仿宋_GB2312"/>
          <w:b/>
          <w:bCs/>
          <w:snapToGrid/>
          <w:spacing w:val="8"/>
          <w:kern w:val="2"/>
          <w:sz w:val="28"/>
          <w:szCs w:val="28"/>
          <w:lang w:val="en-US" w:eastAsia="zh-CN"/>
        </w:rPr>
        <w:t>7.总分所汇总数据查看</w:t>
      </w:r>
    </w:p>
    <w:p w14:paraId="7B3FEDFE">
      <w:pPr>
        <w:keepNext w:val="0"/>
        <w:keepLines w:val="0"/>
        <w:pageBreakBefore w:val="0"/>
        <w:widowControl w:val="0"/>
        <w:kinsoku/>
        <w:wordWrap/>
        <w:overflowPunct/>
        <w:topLinePunct w:val="0"/>
        <w:autoSpaceDE/>
        <w:autoSpaceDN/>
        <w:bidi w:val="0"/>
        <w:adjustRightInd/>
        <w:snapToGrid/>
        <w:spacing w:beforeAutospacing="0" w:line="240" w:lineRule="auto"/>
        <w:ind w:firstLine="592" w:firstLineChars="200"/>
        <w:jc w:val="left"/>
        <w:textAlignment w:val="auto"/>
        <w:rPr>
          <w:rFonts w:hint="eastAsia" w:ascii="仿宋_GB2312" w:hAnsi="仿宋_GB2312" w:eastAsia="仿宋_GB2312" w:cs="仿宋_GB2312"/>
          <w:b w:val="0"/>
          <w:bCs w:val="0"/>
          <w:snapToGrid/>
          <w:spacing w:val="8"/>
          <w:kern w:val="2"/>
          <w:sz w:val="28"/>
          <w:szCs w:val="28"/>
          <w:lang w:val="en-US" w:eastAsia="zh-CN"/>
        </w:rPr>
      </w:pPr>
      <w:r>
        <w:rPr>
          <w:rFonts w:hint="eastAsia" w:ascii="仿宋_GB2312" w:hAnsi="仿宋_GB2312" w:eastAsia="仿宋_GB2312" w:cs="仿宋_GB2312"/>
          <w:b w:val="0"/>
          <w:bCs w:val="0"/>
          <w:snapToGrid/>
          <w:spacing w:val="8"/>
          <w:kern w:val="2"/>
          <w:sz w:val="28"/>
          <w:szCs w:val="28"/>
          <w:lang w:val="en-US" w:eastAsia="zh-CN"/>
        </w:rPr>
        <w:t>总分所数据汇总只有会计师事务所总所可查看，看到的数据为总分所填报的事务所报表汇总数据及各分所填报的数据。</w:t>
      </w:r>
    </w:p>
    <w:p w14:paraId="1518E38B">
      <w:pPr>
        <w:keepNext w:val="0"/>
        <w:keepLines w:val="0"/>
        <w:pageBreakBefore w:val="0"/>
        <w:widowControl w:val="0"/>
        <w:kinsoku/>
        <w:wordWrap/>
        <w:overflowPunct/>
        <w:topLinePunct w:val="0"/>
        <w:autoSpaceDE/>
        <w:autoSpaceDN/>
        <w:bidi w:val="0"/>
        <w:adjustRightInd/>
        <w:snapToGrid/>
        <w:spacing w:before="156" w:beforeLines="50" w:after="156" w:afterLines="50"/>
        <w:ind w:firstLine="552" w:firstLineChars="200"/>
        <w:jc w:val="left"/>
        <w:textAlignment w:val="auto"/>
        <w:rPr>
          <w:rFonts w:hint="eastAsia" w:ascii="仿宋_GB2312" w:hAnsi="仿宋_GB2312" w:eastAsia="仿宋_GB2312" w:cs="仿宋_GB2312"/>
          <w:snapToGrid/>
          <w:color w:val="FF0000"/>
          <w:spacing w:val="18"/>
          <w:kern w:val="2"/>
          <w:sz w:val="24"/>
          <w:szCs w:val="24"/>
          <w:lang w:val="en-US" w:eastAsia="zh-CN"/>
        </w:rPr>
      </w:pPr>
      <w:r>
        <w:rPr>
          <w:rFonts w:hint="eastAsia" w:ascii="仿宋_GB2312" w:hAnsi="仿宋_GB2312" w:eastAsia="仿宋_GB2312" w:cs="仿宋_GB2312"/>
          <w:snapToGrid/>
          <w:color w:val="FF0000"/>
          <w:spacing w:val="18"/>
          <w:kern w:val="2"/>
          <w:sz w:val="24"/>
          <w:szCs w:val="24"/>
          <w:lang w:val="en-US" w:eastAsia="zh-CN"/>
        </w:rPr>
        <w:t>注：每个会计师事务所的上报状态均为未上报，看分所是否填报需看是否有具体数据。分所保存数据但未提交会造成集团数据未汇总。</w:t>
      </w:r>
    </w:p>
    <w:p w14:paraId="08B4D881">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jc w:val="center"/>
        <w:textAlignment w:val="auto"/>
        <w:rPr>
          <w:rFonts w:hint="eastAsia"/>
          <w:lang w:val="en-US" w:eastAsia="zh-CN"/>
        </w:rPr>
      </w:pPr>
      <w:bookmarkStart w:id="1" w:name="_GoBack"/>
      <w:r>
        <w:drawing>
          <wp:inline distT="0" distB="0" distL="114300" distR="114300">
            <wp:extent cx="3879850" cy="2268220"/>
            <wp:effectExtent l="0" t="0" r="6350" b="177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5"/>
                    <a:stretch>
                      <a:fillRect/>
                    </a:stretch>
                  </pic:blipFill>
                  <pic:spPr>
                    <a:xfrm>
                      <a:off x="0" y="0"/>
                      <a:ext cx="3879850" cy="2268220"/>
                    </a:xfrm>
                    <a:prstGeom prst="rect">
                      <a:avLst/>
                    </a:prstGeom>
                  </pic:spPr>
                </pic:pic>
              </a:graphicData>
            </a:graphic>
          </wp:inline>
        </w:drawing>
      </w:r>
      <w:bookmarkEnd w:id="1"/>
    </w:p>
    <w:p w14:paraId="68FFCB4F">
      <w:pPr>
        <w:keepNext w:val="0"/>
        <w:keepLines w:val="0"/>
        <w:pageBreakBefore w:val="0"/>
        <w:widowControl w:val="0"/>
        <w:kinsoku/>
        <w:wordWrap/>
        <w:overflowPunct/>
        <w:topLinePunct w:val="0"/>
        <w:autoSpaceDE/>
        <w:autoSpaceDN/>
        <w:bidi w:val="0"/>
        <w:adjustRightInd/>
        <w:snapToGrid/>
        <w:spacing w:beforeAutospacing="0" w:line="240" w:lineRule="exact"/>
        <w:ind w:firstLine="0" w:firstLineChars="0"/>
        <w:jc w:val="center"/>
        <w:textAlignment w:val="auto"/>
        <w:rPr>
          <w:rFonts w:hint="default" w:ascii="仿宋_GB2312" w:hAnsi="仿宋_GB2312" w:eastAsia="仿宋_GB2312" w:cs="仿宋_GB2312"/>
          <w:snapToGrid/>
          <w:kern w:val="2"/>
          <w:sz w:val="21"/>
          <w:szCs w:val="21"/>
          <w:lang w:val="en-US" w:eastAsia="zh-CN"/>
        </w:rPr>
      </w:pPr>
      <w:r>
        <w:rPr>
          <w:rFonts w:hint="eastAsia" w:ascii="仿宋_GB2312" w:hAnsi="仿宋_GB2312" w:eastAsia="仿宋_GB2312" w:cs="仿宋_GB2312"/>
          <w:snapToGrid/>
          <w:kern w:val="2"/>
          <w:sz w:val="21"/>
          <w:szCs w:val="21"/>
          <w:lang w:val="en-US" w:eastAsia="zh-CN"/>
        </w:rPr>
        <w:t>图 11 总分所汇总</w:t>
      </w:r>
    </w:p>
    <w:sectPr>
      <w:footerReference r:id="rId4" w:type="default"/>
      <w:pgSz w:w="11907" w:h="16840"/>
      <w:pgMar w:top="1440" w:right="1800" w:bottom="1440" w:left="1800" w:header="0" w:footer="1554"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DA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BA6E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FBA6E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4E63">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E4NGVkYjBjMDQ2YThmN2EzNWEyMTI4NWJkODFmMTIifQ=="/>
  </w:docVars>
  <w:rsids>
    <w:rsidRoot w:val="0068668C"/>
    <w:rsid w:val="00361EA6"/>
    <w:rsid w:val="004C4159"/>
    <w:rsid w:val="00661E47"/>
    <w:rsid w:val="0068668C"/>
    <w:rsid w:val="00B746EE"/>
    <w:rsid w:val="01BE7323"/>
    <w:rsid w:val="03165668"/>
    <w:rsid w:val="034855A8"/>
    <w:rsid w:val="04E377CC"/>
    <w:rsid w:val="06896D96"/>
    <w:rsid w:val="06F128C3"/>
    <w:rsid w:val="07351DDA"/>
    <w:rsid w:val="07807554"/>
    <w:rsid w:val="08BA0844"/>
    <w:rsid w:val="091D7025"/>
    <w:rsid w:val="098552F6"/>
    <w:rsid w:val="0C104FD7"/>
    <w:rsid w:val="0C624C75"/>
    <w:rsid w:val="0EB818FA"/>
    <w:rsid w:val="0EE53CAA"/>
    <w:rsid w:val="0EF4E75B"/>
    <w:rsid w:val="0F79F067"/>
    <w:rsid w:val="104D6442"/>
    <w:rsid w:val="12563C96"/>
    <w:rsid w:val="12C86ADF"/>
    <w:rsid w:val="12EF37E0"/>
    <w:rsid w:val="15545B7C"/>
    <w:rsid w:val="15826B8D"/>
    <w:rsid w:val="17243D43"/>
    <w:rsid w:val="199450E1"/>
    <w:rsid w:val="19FC15DD"/>
    <w:rsid w:val="1A280026"/>
    <w:rsid w:val="1B173EA6"/>
    <w:rsid w:val="1B7C7BDB"/>
    <w:rsid w:val="1BCC16EF"/>
    <w:rsid w:val="1CEB6DC6"/>
    <w:rsid w:val="1E1B7B7F"/>
    <w:rsid w:val="2153379F"/>
    <w:rsid w:val="22744381"/>
    <w:rsid w:val="22FB3ADB"/>
    <w:rsid w:val="2318402F"/>
    <w:rsid w:val="24F5112A"/>
    <w:rsid w:val="25685003"/>
    <w:rsid w:val="25D30D3F"/>
    <w:rsid w:val="279F4B11"/>
    <w:rsid w:val="27B6199A"/>
    <w:rsid w:val="28DC615D"/>
    <w:rsid w:val="2AEB08D9"/>
    <w:rsid w:val="2B892FC7"/>
    <w:rsid w:val="2BBC6F50"/>
    <w:rsid w:val="2DF81343"/>
    <w:rsid w:val="2F1C5505"/>
    <w:rsid w:val="2FEA5603"/>
    <w:rsid w:val="31A619F8"/>
    <w:rsid w:val="34D81ECE"/>
    <w:rsid w:val="35A95619"/>
    <w:rsid w:val="36840C98"/>
    <w:rsid w:val="37C87FD8"/>
    <w:rsid w:val="3B3A54DB"/>
    <w:rsid w:val="3B81506E"/>
    <w:rsid w:val="3BF763E0"/>
    <w:rsid w:val="3CD4741F"/>
    <w:rsid w:val="3D1A51DB"/>
    <w:rsid w:val="3D6562C9"/>
    <w:rsid w:val="3E79027E"/>
    <w:rsid w:val="3FC27A03"/>
    <w:rsid w:val="3FF02FBD"/>
    <w:rsid w:val="3FFC1167"/>
    <w:rsid w:val="42DC4209"/>
    <w:rsid w:val="430345BA"/>
    <w:rsid w:val="434D3A87"/>
    <w:rsid w:val="454964D0"/>
    <w:rsid w:val="458539AC"/>
    <w:rsid w:val="45BF0F24"/>
    <w:rsid w:val="464F5D68"/>
    <w:rsid w:val="46641A7E"/>
    <w:rsid w:val="477C2B8D"/>
    <w:rsid w:val="49757894"/>
    <w:rsid w:val="49826328"/>
    <w:rsid w:val="4A4D0811"/>
    <w:rsid w:val="4B5C51AF"/>
    <w:rsid w:val="4C7E73A7"/>
    <w:rsid w:val="4D094EC3"/>
    <w:rsid w:val="4DCE1C69"/>
    <w:rsid w:val="4E772300"/>
    <w:rsid w:val="4EDC7220"/>
    <w:rsid w:val="4FBBA026"/>
    <w:rsid w:val="4FDD9024"/>
    <w:rsid w:val="51ED4DB3"/>
    <w:rsid w:val="529B6283"/>
    <w:rsid w:val="541C372E"/>
    <w:rsid w:val="54C82411"/>
    <w:rsid w:val="593B310F"/>
    <w:rsid w:val="5CDF79EE"/>
    <w:rsid w:val="5D1B7B11"/>
    <w:rsid w:val="5E050BA2"/>
    <w:rsid w:val="5F88579A"/>
    <w:rsid w:val="5FDE3F8D"/>
    <w:rsid w:val="60BD0047"/>
    <w:rsid w:val="620015D4"/>
    <w:rsid w:val="62173786"/>
    <w:rsid w:val="6263077A"/>
    <w:rsid w:val="628766B4"/>
    <w:rsid w:val="646A5FF4"/>
    <w:rsid w:val="68E1064A"/>
    <w:rsid w:val="696C5554"/>
    <w:rsid w:val="6ADFBC7E"/>
    <w:rsid w:val="6BA047ED"/>
    <w:rsid w:val="6D407A2D"/>
    <w:rsid w:val="6E250FD9"/>
    <w:rsid w:val="6E573888"/>
    <w:rsid w:val="71096990"/>
    <w:rsid w:val="71E31A7F"/>
    <w:rsid w:val="747D391D"/>
    <w:rsid w:val="756B594D"/>
    <w:rsid w:val="77A17922"/>
    <w:rsid w:val="77B76420"/>
    <w:rsid w:val="7802674C"/>
    <w:rsid w:val="79FA65D9"/>
    <w:rsid w:val="7A484EE8"/>
    <w:rsid w:val="7A88301C"/>
    <w:rsid w:val="7B2E5C1C"/>
    <w:rsid w:val="7D1C7A4B"/>
    <w:rsid w:val="7F3C0ED0"/>
    <w:rsid w:val="7FDF2E88"/>
    <w:rsid w:val="7FE7CF6E"/>
    <w:rsid w:val="7FF30681"/>
    <w:rsid w:val="87F79CE9"/>
    <w:rsid w:val="AFD4DA21"/>
    <w:rsid w:val="CDBF1071"/>
    <w:rsid w:val="D98B55C0"/>
    <w:rsid w:val="E34F8590"/>
    <w:rsid w:val="EBFF23C7"/>
    <w:rsid w:val="EEFE444E"/>
    <w:rsid w:val="F1FD10B3"/>
    <w:rsid w:val="FEAE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1543</Words>
  <Characters>1592</Characters>
  <Lines>11</Lines>
  <Paragraphs>3</Paragraphs>
  <TotalTime>11</TotalTime>
  <ScaleCrop>false</ScaleCrop>
  <LinksUpToDate>false</LinksUpToDate>
  <CharactersWithSpaces>1614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2023-07-18T01:17:00Z</dcterms:created>
  <dc:creator>刘浩然</dc:creator>
  <cp:lastModifiedBy>一</cp:lastModifiedBy>
  <cp:lastPrinted>2024-07-26T18:09:00Z</cp:lastPrinted>
  <dcterms:modified xsi:type="dcterms:W3CDTF">2026-01-30T03:39:43Z</dcterms:modified>
  <dc:title>个人会员密码找回操作手册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2023-08-08T09:26:25Z</vt:filetime>
  </property>
  <property fmtid="{D5CDD505-2E9C-101B-9397-08002B2CF9AE}" pid="4" name="KSOProductBuildVer">
    <vt:lpwstr>2052-12.1.0.21915</vt:lpwstr>
  </property>
  <property fmtid="{D5CDD505-2E9C-101B-9397-08002B2CF9AE}" pid="5" name="ICV">
    <vt:lpwstr>10160E21F8D94D1495F7412A1C12EDEF_12</vt:lpwstr>
  </property>
  <property fmtid="{D5CDD505-2E9C-101B-9397-08002B2CF9AE}" pid="6" name="KSOTemplateDocerSaveRecord">
    <vt:lpwstr>eyJoZGlkIjoiYjE4NGVkYjBjMDQ2YThmN2EzNWEyMTI4NWJkODFmMTIiLCJ1c2VySWQiOiI2MzA3OTE1ODgifQ==</vt:lpwstr>
  </property>
</Properties>
</file>